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F9368" w14:textId="50837AEF" w:rsidR="00DC5290" w:rsidRPr="008227DA" w:rsidRDefault="00586E70">
      <w:pPr>
        <w:jc w:val="center"/>
        <w:rPr>
          <w:rFonts w:cs="Arial"/>
        </w:rPr>
      </w:pPr>
      <w:r>
        <w:rPr>
          <w:rFonts w:cs="Arial"/>
        </w:rPr>
        <w:t xml:space="preserve">             </w:t>
      </w:r>
      <w:r>
        <w:rPr>
          <w:rFonts w:ascii="Times New Roman"/>
          <w:noProof/>
          <w:sz w:val="20"/>
        </w:rPr>
        <w:drawing>
          <wp:inline distT="0" distB="0" distL="0" distR="0" wp14:anchorId="399E5086" wp14:editId="0983E99E">
            <wp:extent cx="3520363" cy="785812"/>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stretch>
                      <a:fillRect/>
                    </a:stretch>
                  </pic:blipFill>
                  <pic:spPr>
                    <a:xfrm>
                      <a:off x="0" y="0"/>
                      <a:ext cx="3520363" cy="785812"/>
                    </a:xfrm>
                    <a:prstGeom prst="rect">
                      <a:avLst/>
                    </a:prstGeom>
                  </pic:spPr>
                </pic:pic>
              </a:graphicData>
            </a:graphic>
          </wp:inline>
        </w:drawing>
      </w:r>
    </w:p>
    <w:p w14:paraId="7936E501" w14:textId="37BADB33" w:rsidR="00DC5290" w:rsidRPr="008227DA" w:rsidRDefault="00BE3DEA">
      <w:pPr>
        <w:jc w:val="center"/>
        <w:rPr>
          <w:rFonts w:cs="Arial"/>
        </w:rPr>
      </w:pPr>
      <w:r w:rsidRPr="008227DA">
        <w:rPr>
          <w:rFonts w:cs="Arial"/>
          <w:b/>
          <w:sz w:val="26"/>
        </w:rPr>
        <w:t>SILVER X MINING CORP</w:t>
      </w:r>
      <w:r w:rsidR="00586E70">
        <w:rPr>
          <w:noProof/>
          <w:sz w:val="2"/>
        </w:rPr>
        <mc:AlternateContent>
          <mc:Choice Requires="wpg">
            <w:drawing>
              <wp:inline distT="0" distB="0" distL="0" distR="0" wp14:anchorId="167810AB" wp14:editId="17241B22">
                <wp:extent cx="5932805" cy="9525"/>
                <wp:effectExtent l="9525" t="0" r="1270" b="0"/>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32805" cy="9525"/>
                          <a:chOff x="0" y="0"/>
                          <a:chExt cx="5932805" cy="9525"/>
                        </a:xfrm>
                      </wpg:grpSpPr>
                      <wps:wsp>
                        <wps:cNvPr id="4" name="Graphic 4"/>
                        <wps:cNvSpPr/>
                        <wps:spPr>
                          <a:xfrm>
                            <a:off x="0" y="4762"/>
                            <a:ext cx="5932805" cy="1270"/>
                          </a:xfrm>
                          <a:custGeom>
                            <a:avLst/>
                            <a:gdLst/>
                            <a:ahLst/>
                            <a:cxnLst/>
                            <a:rect l="l" t="t" r="r" b="b"/>
                            <a:pathLst>
                              <a:path w="5932805">
                                <a:moveTo>
                                  <a:pt x="0" y="0"/>
                                </a:moveTo>
                                <a:lnTo>
                                  <a:pt x="5932805" y="0"/>
                                </a:lnTo>
                              </a:path>
                            </a:pathLst>
                          </a:custGeom>
                          <a:ln w="9525">
                            <a:solidFill>
                              <a:srgbClr val="C00000"/>
                            </a:solidFill>
                            <a:prstDash val="solid"/>
                          </a:ln>
                        </wps:spPr>
                        <wps:bodyPr wrap="square" lIns="0" tIns="0" rIns="0" bIns="0" rtlCol="0">
                          <a:prstTxWarp prst="textNoShape">
                            <a:avLst/>
                          </a:prstTxWarp>
                          <a:noAutofit/>
                        </wps:bodyPr>
                      </wps:wsp>
                    </wpg:wgp>
                  </a:graphicData>
                </a:graphic>
              </wp:inline>
            </w:drawing>
          </mc:Choice>
          <mc:Fallback>
            <w:pict>
              <v:group w14:anchorId="4249DC9E" id="Group 3" o:spid="_x0000_s1026" style="width:467.15pt;height:.75pt;mso-position-horizontal-relative:char;mso-position-vertical-relative:line" coordsize="59328,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">
                <v:shape id="Graphic 4" o:spid="_x0000_s1027" style="position:absolute;top:47;width:59328;height:13;visibility:visible;mso-wrap-style:square;v-text-anchor:top" coordsize="593280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" path="m,l5932805,e" filled="f" strokecolor="#c00000">
                  <v:path arrowok="t"/>
                </v:shape>
                <w10:anchorlock/>
              </v:group>
            </w:pict>
          </mc:Fallback>
        </mc:AlternateContent>
      </w:r>
    </w:p>
    <w:p w14:paraId="7D860FD8" w14:textId="5BF3B959" w:rsidR="0047026A" w:rsidRPr="008D1223" w:rsidRDefault="00586E70" w:rsidP="008D1223">
      <w:pPr>
        <w:pStyle w:val="BodyText"/>
        <w:spacing w:before="120"/>
        <w:jc w:val="center"/>
      </w:pPr>
      <w:r>
        <w:t>620 – 1111 Melville Street, Vancouver, BC V6E 3V6, Canada</w:t>
      </w:r>
    </w:p>
    <w:p w14:paraId="2CF4685A" w14:textId="7D771F1B" w:rsidR="00AF4AA6" w:rsidRDefault="00AF4AA6" w:rsidP="00AF4AA6">
      <w:pPr>
        <w:pStyle w:val="p1"/>
        <w:spacing w:before="240" w:beforeAutospacing="0" w:after="0" w:afterAutospacing="0"/>
        <w:jc w:val="center"/>
        <w:rPr>
          <w:rFonts w:ascii="Arial" w:eastAsia="Arial" w:hAnsi="Arial" w:cs="Arial"/>
          <w:b/>
          <w:bCs/>
          <w:spacing w:val="-4"/>
          <w:sz w:val="28"/>
          <w:szCs w:val="28"/>
          <w:lang w:eastAsia="en-US"/>
        </w:rPr>
      </w:pPr>
      <w:r w:rsidRPr="00AF4AA6">
        <w:rPr>
          <w:rFonts w:ascii="Arial" w:eastAsia="Arial" w:hAnsi="Arial" w:cs="Arial"/>
          <w:b/>
          <w:bCs/>
          <w:spacing w:val="-4"/>
          <w:sz w:val="28"/>
          <w:szCs w:val="28"/>
          <w:lang w:eastAsia="en-US"/>
        </w:rPr>
        <w:t>Silver X Mining Corp. Announces Appointment of</w:t>
      </w:r>
      <w:r>
        <w:rPr>
          <w:rFonts w:ascii="Arial" w:eastAsia="Arial" w:hAnsi="Arial" w:cs="Arial"/>
          <w:b/>
          <w:bCs/>
          <w:spacing w:val="-4"/>
          <w:sz w:val="28"/>
          <w:szCs w:val="28"/>
          <w:lang w:eastAsia="en-US"/>
        </w:rPr>
        <w:br/>
      </w:r>
      <w:r w:rsidRPr="00AF4AA6">
        <w:rPr>
          <w:rFonts w:ascii="Arial" w:eastAsia="Arial" w:hAnsi="Arial" w:cs="Arial"/>
          <w:b/>
          <w:bCs/>
          <w:spacing w:val="-4"/>
          <w:sz w:val="28"/>
          <w:szCs w:val="28"/>
          <w:lang w:eastAsia="en-US"/>
        </w:rPr>
        <w:t>Mark NJ Ashcroft to Board of Directors</w:t>
      </w:r>
    </w:p>
    <w:p w14:paraId="2661B4E4" w14:textId="657BE43D" w:rsidR="00AF4AA6" w:rsidRPr="00AF4AA6" w:rsidRDefault="005666E6" w:rsidP="00AF4AA6">
      <w:pPr>
        <w:pStyle w:val="p1"/>
        <w:rPr>
          <w:rFonts w:ascii="Arial" w:hAnsi="Arial" w:cs="Arial"/>
        </w:rPr>
      </w:pPr>
      <w:r w:rsidRPr="005666E6">
        <w:rPr>
          <w:rFonts w:ascii="Arial" w:hAnsi="Arial" w:cs="Arial"/>
          <w:b/>
          <w:bCs/>
        </w:rPr>
        <w:t xml:space="preserve">Vancouver, British Columbia, April </w:t>
      </w:r>
      <w:r w:rsidR="007A6DE0">
        <w:rPr>
          <w:rFonts w:ascii="Arial" w:hAnsi="Arial" w:cs="Arial"/>
          <w:b/>
          <w:bCs/>
        </w:rPr>
        <w:t>1</w:t>
      </w:r>
      <w:r w:rsidR="000968BD">
        <w:rPr>
          <w:rFonts w:ascii="Arial" w:hAnsi="Arial" w:cs="Arial"/>
          <w:b/>
          <w:bCs/>
        </w:rPr>
        <w:t>7</w:t>
      </w:r>
      <w:r w:rsidRPr="005666E6">
        <w:rPr>
          <w:rFonts w:ascii="Arial" w:hAnsi="Arial" w:cs="Arial"/>
          <w:b/>
          <w:bCs/>
        </w:rPr>
        <w:t>, 2026</w:t>
      </w:r>
      <w:r w:rsidRPr="005666E6">
        <w:rPr>
          <w:rFonts w:ascii="Arial" w:hAnsi="Arial" w:cs="Arial"/>
        </w:rPr>
        <w:t xml:space="preserve"> – </w:t>
      </w:r>
      <w:r w:rsidR="00AF4AA6" w:rsidRPr="00AF4AA6">
        <w:rPr>
          <w:rFonts w:ascii="Arial" w:hAnsi="Arial" w:cs="Arial"/>
        </w:rPr>
        <w:t>Silver X Mining Corp. (TSX-V: AGX</w:t>
      </w:r>
      <w:r w:rsidR="00620865">
        <w:rPr>
          <w:rFonts w:ascii="Arial" w:hAnsi="Arial" w:cs="Arial"/>
        </w:rPr>
        <w:t>) (</w:t>
      </w:r>
      <w:r w:rsidR="00AF4AA6" w:rsidRPr="00AF4AA6">
        <w:rPr>
          <w:rFonts w:ascii="Arial" w:hAnsi="Arial" w:cs="Arial"/>
        </w:rPr>
        <w:t>OTCQB: AGXPF</w:t>
      </w:r>
      <w:r w:rsidR="00620865">
        <w:rPr>
          <w:rFonts w:ascii="Arial" w:hAnsi="Arial" w:cs="Arial"/>
        </w:rPr>
        <w:t>) (</w:t>
      </w:r>
      <w:r w:rsidR="00AF4AA6" w:rsidRPr="00AF4AA6">
        <w:rPr>
          <w:rFonts w:ascii="Arial" w:hAnsi="Arial" w:cs="Arial"/>
        </w:rPr>
        <w:t>F: AGX</w:t>
      </w:r>
      <w:r w:rsidR="00620865">
        <w:rPr>
          <w:rFonts w:ascii="Arial" w:hAnsi="Arial" w:cs="Arial"/>
        </w:rPr>
        <w:t>)</w:t>
      </w:r>
      <w:r w:rsidR="00AF4AA6" w:rsidRPr="00AF4AA6">
        <w:rPr>
          <w:rFonts w:ascii="Arial" w:hAnsi="Arial" w:cs="Arial"/>
        </w:rPr>
        <w:t xml:space="preserve"> ("</w:t>
      </w:r>
      <w:r w:rsidR="00AF4AA6" w:rsidRPr="00620865">
        <w:rPr>
          <w:rFonts w:ascii="Arial" w:hAnsi="Arial" w:cs="Arial"/>
          <w:b/>
          <w:bCs/>
        </w:rPr>
        <w:t>Silver X</w:t>
      </w:r>
      <w:r w:rsidR="00AF4AA6" w:rsidRPr="00AF4AA6">
        <w:rPr>
          <w:rFonts w:ascii="Arial" w:hAnsi="Arial" w:cs="Arial"/>
        </w:rPr>
        <w:t>" or the "</w:t>
      </w:r>
      <w:r w:rsidR="00AF4AA6" w:rsidRPr="00620865">
        <w:rPr>
          <w:rFonts w:ascii="Arial" w:hAnsi="Arial" w:cs="Arial"/>
          <w:b/>
          <w:bCs/>
        </w:rPr>
        <w:t>Company</w:t>
      </w:r>
      <w:r w:rsidR="00AF4AA6" w:rsidRPr="00AF4AA6">
        <w:rPr>
          <w:rFonts w:ascii="Arial" w:hAnsi="Arial" w:cs="Arial"/>
        </w:rPr>
        <w:t xml:space="preserve">") </w:t>
      </w:r>
      <w:r w:rsidR="00620865" w:rsidRPr="00620865">
        <w:rPr>
          <w:rFonts w:ascii="Arial" w:hAnsi="Arial" w:cs="Arial"/>
        </w:rPr>
        <w:t>a precious-metals exploration, development, and  production company operating a multi-asset platform in Peru</w:t>
      </w:r>
      <w:r w:rsidR="00620865">
        <w:rPr>
          <w:rFonts w:ascii="Arial" w:hAnsi="Arial" w:cs="Arial"/>
        </w:rPr>
        <w:t xml:space="preserve">, </w:t>
      </w:r>
      <w:r w:rsidR="00AF4AA6" w:rsidRPr="00AF4AA6">
        <w:rPr>
          <w:rFonts w:ascii="Arial" w:hAnsi="Arial" w:cs="Arial"/>
        </w:rPr>
        <w:t>is pleased to announce the appointment of Mark NJ Ashcroft, P.Eng., to its Board of Directors.</w:t>
      </w:r>
    </w:p>
    <w:p w14:paraId="05F47F3A" w14:textId="77777777" w:rsidR="00AF4AA6" w:rsidRPr="00AF4AA6" w:rsidRDefault="00AF4AA6" w:rsidP="00AF4AA6">
      <w:pPr>
        <w:pStyle w:val="p1"/>
        <w:rPr>
          <w:rFonts w:ascii="Arial" w:hAnsi="Arial" w:cs="Arial"/>
        </w:rPr>
      </w:pPr>
      <w:r w:rsidRPr="00AF4AA6">
        <w:rPr>
          <w:rFonts w:ascii="Arial" w:hAnsi="Arial" w:cs="Arial"/>
        </w:rPr>
        <w:t>Mr. Ashcroft is a professional mining engineer with approximately 40 years of experience spanning underground mine operations, project development, corporate finance and strategic advisory work across North and South America and Australia.</w:t>
      </w:r>
    </w:p>
    <w:p w14:paraId="1159B66D" w14:textId="77777777" w:rsidR="00AF4AA6" w:rsidRPr="00AF4AA6" w:rsidRDefault="00AF4AA6" w:rsidP="00AF4AA6">
      <w:pPr>
        <w:pStyle w:val="p1"/>
        <w:rPr>
          <w:rFonts w:ascii="Arial" w:hAnsi="Arial" w:cs="Arial"/>
        </w:rPr>
      </w:pPr>
      <w:r w:rsidRPr="00AF4AA6">
        <w:rPr>
          <w:rFonts w:ascii="Arial" w:hAnsi="Arial" w:cs="Arial"/>
        </w:rPr>
        <w:t xml:space="preserve">He began his career underground at Inco and has since held senior executive and board positions at </w:t>
      </w:r>
      <w:proofErr w:type="gramStart"/>
      <w:r w:rsidRPr="00AF4AA6">
        <w:rPr>
          <w:rFonts w:ascii="Arial" w:hAnsi="Arial" w:cs="Arial"/>
        </w:rPr>
        <w:t>a number of</w:t>
      </w:r>
      <w:proofErr w:type="gramEnd"/>
      <w:r w:rsidRPr="00AF4AA6">
        <w:rPr>
          <w:rFonts w:ascii="Arial" w:hAnsi="Arial" w:cs="Arial"/>
        </w:rPr>
        <w:t xml:space="preserve"> public mining companies, including serving as President and CEO of Stonegate </w:t>
      </w:r>
      <w:proofErr w:type="spellStart"/>
      <w:r w:rsidRPr="00AF4AA6">
        <w:rPr>
          <w:rFonts w:ascii="Arial" w:hAnsi="Arial" w:cs="Arial"/>
        </w:rPr>
        <w:t>Agricom</w:t>
      </w:r>
      <w:proofErr w:type="spellEnd"/>
      <w:r w:rsidRPr="00AF4AA6">
        <w:rPr>
          <w:rFonts w:ascii="Arial" w:hAnsi="Arial" w:cs="Arial"/>
        </w:rPr>
        <w:t>, where he led the company through a successful C$51.75 million initial public offering.</w:t>
      </w:r>
    </w:p>
    <w:p w14:paraId="6B8E753E" w14:textId="77777777" w:rsidR="00AF4AA6" w:rsidRPr="00AF4AA6" w:rsidRDefault="00AF4AA6" w:rsidP="00AF4AA6">
      <w:pPr>
        <w:pStyle w:val="p1"/>
        <w:rPr>
          <w:rFonts w:ascii="Arial" w:hAnsi="Arial" w:cs="Arial"/>
        </w:rPr>
      </w:pPr>
      <w:r w:rsidRPr="00AF4AA6">
        <w:rPr>
          <w:rFonts w:ascii="Arial" w:hAnsi="Arial" w:cs="Arial"/>
        </w:rPr>
        <w:t>Mr. Ashcroft currently serves as President and CEO of Aurelius Minerals Inc., Principal of Sextant Mining Advisory Inc., and Business Development Advisor, Americas at Empress Royalty Corp. He also chairs the Advisory Board to the School of Engineering and Computer Science at Laurentian University.</w:t>
      </w:r>
    </w:p>
    <w:p w14:paraId="267C29BD" w14:textId="71D42007" w:rsidR="00AF4AA6" w:rsidRPr="00AF4AA6" w:rsidRDefault="00AF4AA6" w:rsidP="00AF4AA6">
      <w:pPr>
        <w:pStyle w:val="p1"/>
        <w:rPr>
          <w:rFonts w:ascii="Arial" w:hAnsi="Arial" w:cs="Arial"/>
        </w:rPr>
      </w:pPr>
      <w:r w:rsidRPr="00620865">
        <w:rPr>
          <w:rFonts w:ascii="Arial" w:hAnsi="Arial" w:cs="Arial"/>
          <w:b/>
          <w:bCs/>
        </w:rPr>
        <w:t>José M. Garcia, CEO of Silver X</w:t>
      </w:r>
      <w:r w:rsidRPr="00AF4AA6">
        <w:rPr>
          <w:rFonts w:ascii="Arial" w:hAnsi="Arial" w:cs="Arial"/>
        </w:rPr>
        <w:t>, commented: "</w:t>
      </w:r>
      <w:r w:rsidR="00620865">
        <w:rPr>
          <w:rFonts w:ascii="Arial" w:hAnsi="Arial" w:cs="Arial"/>
        </w:rPr>
        <w:t xml:space="preserve">We are thrilled to welcome </w:t>
      </w:r>
      <w:r w:rsidRPr="00AF4AA6">
        <w:rPr>
          <w:rFonts w:ascii="Arial" w:hAnsi="Arial" w:cs="Arial"/>
        </w:rPr>
        <w:t xml:space="preserve">Mark </w:t>
      </w:r>
      <w:r w:rsidR="00620865">
        <w:rPr>
          <w:rFonts w:ascii="Arial" w:hAnsi="Arial" w:cs="Arial"/>
        </w:rPr>
        <w:t xml:space="preserve">to our Board of Directors, with his </w:t>
      </w:r>
      <w:r w:rsidRPr="00AF4AA6">
        <w:rPr>
          <w:rFonts w:ascii="Arial" w:hAnsi="Arial" w:cs="Arial"/>
        </w:rPr>
        <w:t>rare combination of hands-on underground mining experience, public company leadership, and capital markets expertise. His track record in project development, financing and strategic execution will be highly valuable as Silver X continues to advance its production growth plans and broader district-scale strategy in Peru."</w:t>
      </w:r>
    </w:p>
    <w:p w14:paraId="0D97D619" w14:textId="69C183ED" w:rsidR="00AF4AA6" w:rsidRPr="00AF4AA6" w:rsidRDefault="00AF4AA6" w:rsidP="00AF4AA6">
      <w:pPr>
        <w:pStyle w:val="p1"/>
        <w:rPr>
          <w:rFonts w:ascii="Arial" w:hAnsi="Arial" w:cs="Arial"/>
        </w:rPr>
      </w:pPr>
      <w:r w:rsidRPr="00620865">
        <w:rPr>
          <w:rFonts w:ascii="Arial" w:hAnsi="Arial" w:cs="Arial"/>
          <w:b/>
          <w:bCs/>
        </w:rPr>
        <w:t>Mark NJ Ashcroft</w:t>
      </w:r>
      <w:r w:rsidRPr="00AF4AA6">
        <w:rPr>
          <w:rFonts w:ascii="Arial" w:hAnsi="Arial" w:cs="Arial"/>
        </w:rPr>
        <w:t xml:space="preserve"> commented: "Silver X has assembled a compelling portfolio and a clear growth strategy anchored by existing production, restart opportunities and district-scale upside. I am </w:t>
      </w:r>
      <w:r w:rsidR="00620865">
        <w:rPr>
          <w:rFonts w:ascii="Arial" w:hAnsi="Arial" w:cs="Arial"/>
        </w:rPr>
        <w:t>excited</w:t>
      </w:r>
      <w:r w:rsidRPr="00AF4AA6">
        <w:rPr>
          <w:rFonts w:ascii="Arial" w:hAnsi="Arial" w:cs="Arial"/>
        </w:rPr>
        <w:t xml:space="preserve"> to join the Board at this stage of the Company's development and look forward to supporting management as it works to create long-term value for shareholders."</w:t>
      </w:r>
    </w:p>
    <w:p w14:paraId="1504FF38" w14:textId="77777777" w:rsidR="00620865" w:rsidRDefault="00AF4AA6" w:rsidP="00AF4AA6">
      <w:pPr>
        <w:pStyle w:val="p1"/>
        <w:rPr>
          <w:rFonts w:ascii="Arial" w:hAnsi="Arial" w:cs="Arial"/>
        </w:rPr>
      </w:pPr>
      <w:r w:rsidRPr="00AF4AA6">
        <w:rPr>
          <w:rFonts w:ascii="Arial" w:hAnsi="Arial" w:cs="Arial"/>
        </w:rPr>
        <w:t>Mr. Ashcroft's appointment is expected to strengthen the Company's technical oversight, corporate governance and capital markets capability at a time when Silver X is focused on scaling production, advancing multiple mining fronts and pursuing long-term value creation across its asset base.</w:t>
      </w:r>
      <w:r w:rsidR="00620865">
        <w:rPr>
          <w:rFonts w:ascii="Arial" w:hAnsi="Arial" w:cs="Arial"/>
        </w:rPr>
        <w:t xml:space="preserve"> </w:t>
      </w:r>
    </w:p>
    <w:p w14:paraId="6B590BFB" w14:textId="5F9077A6" w:rsidR="00DC5290" w:rsidRPr="008227DA" w:rsidRDefault="00BE3DEA">
      <w:pPr>
        <w:pStyle w:val="SectionHeading"/>
        <w:rPr>
          <w:rFonts w:cs="Arial"/>
          <w:sz w:val="24"/>
          <w:szCs w:val="24"/>
        </w:rPr>
      </w:pPr>
      <w:r w:rsidRPr="008227DA">
        <w:rPr>
          <w:rFonts w:cs="Arial"/>
          <w:sz w:val="24"/>
          <w:szCs w:val="24"/>
        </w:rPr>
        <w:lastRenderedPageBreak/>
        <w:t>About Silver X</w:t>
      </w:r>
    </w:p>
    <w:p w14:paraId="5079AC77" w14:textId="382F17A7" w:rsidR="00781C07" w:rsidRPr="00781C07" w:rsidRDefault="00781C07" w:rsidP="00781C07">
      <w:pPr>
        <w:pStyle w:val="LeftBody"/>
        <w:rPr>
          <w:rFonts w:cs="Arial"/>
          <w:sz w:val="24"/>
          <w:szCs w:val="24"/>
        </w:rPr>
      </w:pPr>
      <w:r w:rsidRPr="00781C07">
        <w:rPr>
          <w:rFonts w:cs="Arial"/>
          <w:sz w:val="24"/>
          <w:szCs w:val="24"/>
        </w:rPr>
        <w:t xml:space="preserve">Silver X is a growing silver producer building a multi-asset, district-scale precious metals platform in Peru. The Company’s portfolio includes the Nueva </w:t>
      </w:r>
      <w:proofErr w:type="spellStart"/>
      <w:r w:rsidRPr="00781C07">
        <w:rPr>
          <w:rFonts w:cs="Arial"/>
          <w:sz w:val="24"/>
          <w:szCs w:val="24"/>
        </w:rPr>
        <w:t>Recuperada</w:t>
      </w:r>
      <w:proofErr w:type="spellEnd"/>
      <w:r w:rsidRPr="00781C07">
        <w:rPr>
          <w:rFonts w:cs="Arial"/>
          <w:sz w:val="24"/>
          <w:szCs w:val="24"/>
        </w:rPr>
        <w:t xml:space="preserve"> Project, a district-scale land package of 20,795 hectares with two mining units and over 200 exploration targets, as well as the recently acquired Pampas Project, which further enhances the Company’s scale and long-term growth potential.</w:t>
      </w:r>
    </w:p>
    <w:p w14:paraId="5BF234DB" w14:textId="01AB38D0" w:rsidR="00781C07" w:rsidRPr="00781C07" w:rsidRDefault="00781C07" w:rsidP="00781C07">
      <w:pPr>
        <w:pStyle w:val="LeftBody"/>
        <w:rPr>
          <w:rFonts w:cs="Arial"/>
          <w:sz w:val="24"/>
          <w:szCs w:val="24"/>
        </w:rPr>
      </w:pPr>
      <w:r w:rsidRPr="00781C07">
        <w:rPr>
          <w:rFonts w:cs="Arial"/>
          <w:sz w:val="24"/>
          <w:szCs w:val="24"/>
        </w:rPr>
        <w:t xml:space="preserve">Current production from the </w:t>
      </w:r>
      <w:proofErr w:type="spellStart"/>
      <w:r w:rsidRPr="00781C07">
        <w:rPr>
          <w:rFonts w:cs="Arial"/>
          <w:sz w:val="24"/>
          <w:szCs w:val="24"/>
        </w:rPr>
        <w:t>Tangana</w:t>
      </w:r>
      <w:proofErr w:type="spellEnd"/>
      <w:r w:rsidRPr="00781C07">
        <w:rPr>
          <w:rFonts w:cs="Arial"/>
          <w:sz w:val="24"/>
          <w:szCs w:val="24"/>
        </w:rPr>
        <w:t xml:space="preserve"> Mining Unit is increasing alongside the planned restart of the Plata, Red Silver and Blenda Rubia mines, supporting a path toward approximately 6 million </w:t>
      </w:r>
      <w:proofErr w:type="spellStart"/>
      <w:r w:rsidRPr="00781C07">
        <w:rPr>
          <w:rFonts w:cs="Arial"/>
          <w:sz w:val="24"/>
          <w:szCs w:val="24"/>
        </w:rPr>
        <w:t>AgEq</w:t>
      </w:r>
      <w:proofErr w:type="spellEnd"/>
      <w:r w:rsidRPr="00781C07">
        <w:rPr>
          <w:rFonts w:cs="Arial"/>
          <w:sz w:val="24"/>
          <w:szCs w:val="24"/>
        </w:rPr>
        <w:t xml:space="preserve"> ounces annually by 2029. The addition of the Pampas Project strengthens the Company’s asset base and reinforces its strategy of evolving into a scalable, district-wide multi-asset operator.</w:t>
      </w:r>
    </w:p>
    <w:p w14:paraId="75E291DE" w14:textId="77777777" w:rsidR="00781C07" w:rsidRPr="00781C07" w:rsidRDefault="00781C07" w:rsidP="00781C07">
      <w:pPr>
        <w:pStyle w:val="LeftBody"/>
        <w:rPr>
          <w:rFonts w:cs="Arial"/>
          <w:sz w:val="24"/>
          <w:szCs w:val="24"/>
        </w:rPr>
      </w:pPr>
      <w:r w:rsidRPr="00781C07">
        <w:rPr>
          <w:rFonts w:cs="Arial"/>
          <w:sz w:val="24"/>
          <w:szCs w:val="24"/>
        </w:rPr>
        <w:t>With existing production, scalable expansion opportunities, and significant exploration upside across multiple assets, Silver X is positioning itself as a next-generation silver company focused on growth, diversification, and long-term value creation.</w:t>
      </w:r>
    </w:p>
    <w:p w14:paraId="75A53FE0" w14:textId="77777777" w:rsidR="008227DA" w:rsidRPr="00781C07" w:rsidRDefault="008227DA">
      <w:pPr>
        <w:pStyle w:val="LeftBody"/>
        <w:rPr>
          <w:rFonts w:cs="Arial"/>
          <w:b/>
          <w:sz w:val="24"/>
          <w:szCs w:val="24"/>
        </w:rPr>
      </w:pPr>
    </w:p>
    <w:p w14:paraId="38EE0559" w14:textId="77777777" w:rsidR="00620865" w:rsidRDefault="00BE3DEA">
      <w:pPr>
        <w:pStyle w:val="LeftBody"/>
        <w:rPr>
          <w:rFonts w:cs="Arial"/>
          <w:b/>
          <w:sz w:val="24"/>
          <w:szCs w:val="24"/>
        </w:rPr>
      </w:pPr>
      <w:r w:rsidRPr="008227DA">
        <w:rPr>
          <w:rFonts w:cs="Arial"/>
          <w:b/>
          <w:sz w:val="24"/>
          <w:szCs w:val="24"/>
        </w:rPr>
        <w:t>ON BEHALF OF THE BOARD</w:t>
      </w:r>
    </w:p>
    <w:p w14:paraId="6CD1E510" w14:textId="00B1CACA" w:rsidR="008227DA" w:rsidRPr="00620865" w:rsidRDefault="00BE3DEA">
      <w:pPr>
        <w:pStyle w:val="LeftBody"/>
        <w:rPr>
          <w:rFonts w:cs="Arial"/>
          <w:b/>
          <w:sz w:val="24"/>
          <w:szCs w:val="24"/>
        </w:rPr>
      </w:pPr>
      <w:r w:rsidRPr="00586E70">
        <w:rPr>
          <w:rFonts w:cs="Arial"/>
          <w:bCs/>
          <w:sz w:val="24"/>
          <w:szCs w:val="24"/>
        </w:rPr>
        <w:t>José M. Garcia</w:t>
      </w:r>
      <w:r w:rsidR="00620865">
        <w:rPr>
          <w:rFonts w:cs="Arial"/>
          <w:bCs/>
          <w:sz w:val="24"/>
          <w:szCs w:val="24"/>
        </w:rPr>
        <w:br/>
      </w:r>
      <w:r w:rsidRPr="008227DA">
        <w:rPr>
          <w:rFonts w:cs="Arial"/>
          <w:sz w:val="24"/>
          <w:szCs w:val="24"/>
        </w:rPr>
        <w:t>CEO and Director</w:t>
      </w:r>
    </w:p>
    <w:p w14:paraId="783B59AA" w14:textId="77777777" w:rsidR="00620865" w:rsidRDefault="00620865" w:rsidP="00586E70">
      <w:pPr>
        <w:pStyle w:val="SmallBody"/>
        <w:rPr>
          <w:rFonts w:cs="Arial"/>
          <w:b/>
          <w:sz w:val="24"/>
          <w:szCs w:val="24"/>
        </w:rPr>
      </w:pPr>
    </w:p>
    <w:p w14:paraId="5DE4A36F" w14:textId="77777777" w:rsidR="00620865" w:rsidRDefault="00586E70" w:rsidP="00586E70">
      <w:pPr>
        <w:pStyle w:val="SmallBody"/>
        <w:rPr>
          <w:rFonts w:cs="Arial"/>
          <w:b/>
          <w:sz w:val="24"/>
          <w:szCs w:val="24"/>
        </w:rPr>
      </w:pPr>
      <w:r w:rsidRPr="00586E70">
        <w:rPr>
          <w:rFonts w:cs="Arial"/>
          <w:b/>
          <w:sz w:val="24"/>
          <w:szCs w:val="24"/>
        </w:rPr>
        <w:t>For further information, please contact:</w:t>
      </w:r>
    </w:p>
    <w:p w14:paraId="7967C8C5" w14:textId="77777777" w:rsidR="00620865" w:rsidRDefault="00620865" w:rsidP="00586E70">
      <w:pPr>
        <w:pStyle w:val="SmallBody"/>
        <w:rPr>
          <w:rFonts w:cs="Arial"/>
          <w:b/>
          <w:sz w:val="24"/>
          <w:szCs w:val="24"/>
        </w:rPr>
      </w:pPr>
    </w:p>
    <w:p w14:paraId="67FF7C4A" w14:textId="77777777" w:rsidR="00711596" w:rsidRDefault="00586E70" w:rsidP="00586E70">
      <w:pPr>
        <w:pStyle w:val="SmallBody"/>
        <w:rPr>
          <w:rFonts w:cs="Arial"/>
          <w:bCs/>
          <w:sz w:val="24"/>
          <w:szCs w:val="24"/>
        </w:rPr>
      </w:pPr>
      <w:r w:rsidRPr="00586E70">
        <w:rPr>
          <w:rFonts w:cs="Arial"/>
          <w:bCs/>
          <w:sz w:val="24"/>
          <w:szCs w:val="24"/>
        </w:rPr>
        <w:t>Simon Willcocks</w:t>
      </w:r>
      <w:r w:rsidR="00620865">
        <w:rPr>
          <w:rFonts w:cs="Arial"/>
          <w:bCs/>
          <w:sz w:val="24"/>
          <w:szCs w:val="24"/>
        </w:rPr>
        <w:br/>
      </w:r>
      <w:r w:rsidRPr="00586E70">
        <w:rPr>
          <w:rFonts w:cs="Arial"/>
          <w:bCs/>
          <w:sz w:val="24"/>
          <w:szCs w:val="24"/>
        </w:rPr>
        <w:t xml:space="preserve">Investor Relations </w:t>
      </w:r>
    </w:p>
    <w:p w14:paraId="626FCB65" w14:textId="669959E0" w:rsidR="00586E70" w:rsidRPr="00620865" w:rsidRDefault="00711596" w:rsidP="00586E70">
      <w:pPr>
        <w:pStyle w:val="SmallBody"/>
        <w:rPr>
          <w:rFonts w:cs="Arial"/>
          <w:b/>
          <w:sz w:val="24"/>
          <w:szCs w:val="24"/>
        </w:rPr>
      </w:pPr>
      <w:r>
        <w:rPr>
          <w:rFonts w:cs="Arial"/>
          <w:bCs/>
          <w:sz w:val="24"/>
          <w:szCs w:val="24"/>
        </w:rPr>
        <w:t>778-323-0959</w:t>
      </w:r>
      <w:r w:rsidR="00620865">
        <w:rPr>
          <w:rFonts w:cs="Arial"/>
          <w:bCs/>
          <w:sz w:val="24"/>
          <w:szCs w:val="24"/>
        </w:rPr>
        <w:br/>
      </w:r>
      <w:r w:rsidR="00586E70" w:rsidRPr="00586E70">
        <w:rPr>
          <w:rFonts w:cs="Arial"/>
          <w:bCs/>
          <w:sz w:val="24"/>
          <w:szCs w:val="24"/>
        </w:rPr>
        <w:t xml:space="preserve">ir@silverxmining.com </w:t>
      </w:r>
    </w:p>
    <w:p w14:paraId="614C1AD4" w14:textId="77777777" w:rsidR="00586E70" w:rsidRDefault="00586E70" w:rsidP="00586E70">
      <w:pPr>
        <w:pStyle w:val="SmallBody"/>
        <w:rPr>
          <w:rFonts w:cs="Arial"/>
          <w:b/>
          <w:sz w:val="24"/>
          <w:szCs w:val="24"/>
        </w:rPr>
      </w:pPr>
    </w:p>
    <w:p w14:paraId="29B6BCAF" w14:textId="266F46F5" w:rsidR="00586E70" w:rsidRDefault="00BE3DEA" w:rsidP="007A6DE0">
      <w:pPr>
        <w:widowControl w:val="0"/>
        <w:autoSpaceDE w:val="0"/>
        <w:autoSpaceDN w:val="0"/>
        <w:spacing w:after="0" w:line="240" w:lineRule="auto"/>
        <w:ind w:right="82"/>
        <w:jc w:val="both"/>
        <w:rPr>
          <w:rFonts w:cs="Arial"/>
          <w:sz w:val="24"/>
          <w:szCs w:val="24"/>
        </w:rPr>
      </w:pPr>
      <w:r w:rsidRPr="00586E70">
        <w:rPr>
          <w:rFonts w:cs="Arial"/>
          <w:b/>
          <w:i/>
          <w:sz w:val="18"/>
          <w:szCs w:val="18"/>
        </w:rPr>
        <w:t>Neither TSX Venture Exchange nor its Regulation Services Provider (as that term is defined in the policies of the TSX Venture Exchange) accepts responsibility for the adequacy or accuracy of this release.</w:t>
      </w:r>
      <w:r w:rsidR="00586E70">
        <w:rPr>
          <w:rFonts w:cs="Arial"/>
          <w:sz w:val="24"/>
          <w:szCs w:val="24"/>
        </w:rPr>
        <w:tab/>
      </w:r>
    </w:p>
    <w:p w14:paraId="68CF73D5" w14:textId="77777777" w:rsidR="00586E70" w:rsidRPr="00586E70" w:rsidRDefault="00586E70" w:rsidP="00586E70">
      <w:pPr>
        <w:pStyle w:val="Heading2"/>
        <w:rPr>
          <w:rFonts w:ascii="Arial" w:hAnsi="Arial" w:cs="Arial"/>
          <w:color w:val="auto"/>
          <w:sz w:val="18"/>
          <w:szCs w:val="18"/>
        </w:rPr>
      </w:pPr>
      <w:r w:rsidRPr="00586E70">
        <w:rPr>
          <w:rFonts w:ascii="Arial" w:hAnsi="Arial" w:cs="Arial"/>
          <w:color w:val="auto"/>
          <w:spacing w:val="-2"/>
          <w:sz w:val="18"/>
          <w:szCs w:val="18"/>
        </w:rPr>
        <w:t>Cautionary</w:t>
      </w:r>
      <w:r w:rsidRPr="00586E70">
        <w:rPr>
          <w:rFonts w:ascii="Arial" w:hAnsi="Arial" w:cs="Arial"/>
          <w:color w:val="auto"/>
          <w:spacing w:val="-1"/>
          <w:sz w:val="18"/>
          <w:szCs w:val="18"/>
        </w:rPr>
        <w:t xml:space="preserve"> </w:t>
      </w:r>
      <w:r w:rsidRPr="00586E70">
        <w:rPr>
          <w:rFonts w:ascii="Arial" w:hAnsi="Arial" w:cs="Arial"/>
          <w:color w:val="auto"/>
          <w:spacing w:val="-2"/>
          <w:sz w:val="18"/>
          <w:szCs w:val="18"/>
        </w:rPr>
        <w:t>Statement</w:t>
      </w:r>
      <w:r w:rsidRPr="00586E70">
        <w:rPr>
          <w:rFonts w:ascii="Arial" w:hAnsi="Arial" w:cs="Arial"/>
          <w:color w:val="auto"/>
          <w:spacing w:val="4"/>
          <w:sz w:val="18"/>
          <w:szCs w:val="18"/>
        </w:rPr>
        <w:t xml:space="preserve"> </w:t>
      </w:r>
      <w:r w:rsidRPr="00586E70">
        <w:rPr>
          <w:rFonts w:ascii="Arial" w:hAnsi="Arial" w:cs="Arial"/>
          <w:color w:val="auto"/>
          <w:spacing w:val="-2"/>
          <w:sz w:val="18"/>
          <w:szCs w:val="18"/>
        </w:rPr>
        <w:t>Regarding</w:t>
      </w:r>
      <w:r w:rsidRPr="00586E70">
        <w:rPr>
          <w:rFonts w:ascii="Arial" w:hAnsi="Arial" w:cs="Arial"/>
          <w:color w:val="auto"/>
          <w:spacing w:val="1"/>
          <w:sz w:val="18"/>
          <w:szCs w:val="18"/>
        </w:rPr>
        <w:t xml:space="preserve"> </w:t>
      </w:r>
      <w:r w:rsidRPr="00586E70">
        <w:rPr>
          <w:rFonts w:ascii="Arial" w:hAnsi="Arial" w:cs="Arial"/>
          <w:color w:val="auto"/>
          <w:spacing w:val="-2"/>
          <w:sz w:val="18"/>
          <w:szCs w:val="18"/>
        </w:rPr>
        <w:t>“Forward-Looking”</w:t>
      </w:r>
      <w:r w:rsidRPr="00586E70">
        <w:rPr>
          <w:rFonts w:ascii="Arial" w:hAnsi="Arial" w:cs="Arial"/>
          <w:color w:val="auto"/>
          <w:spacing w:val="4"/>
          <w:sz w:val="18"/>
          <w:szCs w:val="18"/>
        </w:rPr>
        <w:t xml:space="preserve"> </w:t>
      </w:r>
      <w:r w:rsidRPr="00586E70">
        <w:rPr>
          <w:rFonts w:ascii="Arial" w:hAnsi="Arial" w:cs="Arial"/>
          <w:color w:val="auto"/>
          <w:spacing w:val="-2"/>
          <w:sz w:val="18"/>
          <w:szCs w:val="18"/>
        </w:rPr>
        <w:t>Information</w:t>
      </w:r>
    </w:p>
    <w:p w14:paraId="799BAC6F" w14:textId="77777777" w:rsidR="00586E70" w:rsidRPr="00CC6407" w:rsidRDefault="00586E70" w:rsidP="00586E70">
      <w:pPr>
        <w:pStyle w:val="BodyText"/>
        <w:spacing w:before="120"/>
        <w:ind w:right="79"/>
        <w:jc w:val="both"/>
        <w:rPr>
          <w:sz w:val="18"/>
          <w:szCs w:val="18"/>
        </w:rPr>
      </w:pPr>
      <w:r w:rsidRPr="00CC6407">
        <w:rPr>
          <w:sz w:val="18"/>
          <w:szCs w:val="18"/>
        </w:rPr>
        <w:t>This press release contains forward-looking information within the meaning of applicable Canadian securities legislation (“forward-looking information”). Generally, forward-looking information can be identified by the use of forward-looking terminology such as “plans”, “expects” or “does not expect”, “is expected”, “budget”, “scheduled”, “estimates”, “forecasts”, “intends”, “anticipates” or “does not anticipate”, or “believes”, or variations of such words and phrases or state that certain acts, events or results “may”, “could”, “would”, “might” or “will be taken”, “occur” or “be achieved”.</w:t>
      </w:r>
      <w:r w:rsidRPr="00CC6407">
        <w:rPr>
          <w:spacing w:val="40"/>
          <w:sz w:val="18"/>
          <w:szCs w:val="18"/>
        </w:rPr>
        <w:t xml:space="preserve"> </w:t>
      </w:r>
      <w:r w:rsidRPr="00CC6407">
        <w:rPr>
          <w:sz w:val="18"/>
          <w:szCs w:val="18"/>
        </w:rPr>
        <w:t>All information contained in this press release, other than statements of current</w:t>
      </w:r>
      <w:r w:rsidRPr="00CC6407">
        <w:rPr>
          <w:spacing w:val="-10"/>
          <w:sz w:val="18"/>
          <w:szCs w:val="18"/>
        </w:rPr>
        <w:t xml:space="preserve"> </w:t>
      </w:r>
      <w:r w:rsidRPr="00CC6407">
        <w:rPr>
          <w:sz w:val="18"/>
          <w:szCs w:val="18"/>
        </w:rPr>
        <w:t>and</w:t>
      </w:r>
      <w:r w:rsidRPr="00CC6407">
        <w:rPr>
          <w:spacing w:val="-3"/>
          <w:sz w:val="18"/>
          <w:szCs w:val="18"/>
        </w:rPr>
        <w:t xml:space="preserve"> </w:t>
      </w:r>
      <w:r w:rsidRPr="00CC6407">
        <w:rPr>
          <w:sz w:val="18"/>
          <w:szCs w:val="18"/>
        </w:rPr>
        <w:t>historical</w:t>
      </w:r>
      <w:r w:rsidRPr="00CC6407">
        <w:rPr>
          <w:spacing w:val="-3"/>
          <w:sz w:val="18"/>
          <w:szCs w:val="18"/>
        </w:rPr>
        <w:t xml:space="preserve"> </w:t>
      </w:r>
      <w:r w:rsidRPr="00CC6407">
        <w:rPr>
          <w:sz w:val="18"/>
          <w:szCs w:val="18"/>
        </w:rPr>
        <w:t>fact,</w:t>
      </w:r>
      <w:r w:rsidRPr="00CC6407">
        <w:rPr>
          <w:spacing w:val="-6"/>
          <w:sz w:val="18"/>
          <w:szCs w:val="18"/>
        </w:rPr>
        <w:t xml:space="preserve"> </w:t>
      </w:r>
      <w:r w:rsidRPr="00CC6407">
        <w:rPr>
          <w:sz w:val="18"/>
          <w:szCs w:val="18"/>
        </w:rPr>
        <w:t>is</w:t>
      </w:r>
      <w:r w:rsidRPr="00CC6407">
        <w:rPr>
          <w:spacing w:val="-4"/>
          <w:sz w:val="18"/>
          <w:szCs w:val="18"/>
        </w:rPr>
        <w:t xml:space="preserve"> </w:t>
      </w:r>
      <w:r w:rsidRPr="00CC6407">
        <w:rPr>
          <w:sz w:val="18"/>
          <w:szCs w:val="18"/>
        </w:rPr>
        <w:t>forward</w:t>
      </w:r>
      <w:r w:rsidRPr="00CC6407">
        <w:rPr>
          <w:spacing w:val="-3"/>
          <w:sz w:val="18"/>
          <w:szCs w:val="18"/>
        </w:rPr>
        <w:t xml:space="preserve"> </w:t>
      </w:r>
      <w:r w:rsidRPr="00CC6407">
        <w:rPr>
          <w:sz w:val="18"/>
          <w:szCs w:val="18"/>
        </w:rPr>
        <w:t>looking</w:t>
      </w:r>
      <w:r w:rsidRPr="00CC6407">
        <w:rPr>
          <w:spacing w:val="-3"/>
          <w:sz w:val="18"/>
          <w:szCs w:val="18"/>
        </w:rPr>
        <w:t xml:space="preserve"> </w:t>
      </w:r>
      <w:r w:rsidRPr="00CC6407">
        <w:rPr>
          <w:sz w:val="18"/>
          <w:szCs w:val="18"/>
        </w:rPr>
        <w:t>information.</w:t>
      </w:r>
      <w:r w:rsidRPr="00CC6407">
        <w:rPr>
          <w:spacing w:val="-6"/>
          <w:sz w:val="18"/>
          <w:szCs w:val="18"/>
        </w:rPr>
        <w:t xml:space="preserve"> </w:t>
      </w:r>
      <w:r w:rsidRPr="00CC6407">
        <w:rPr>
          <w:sz w:val="18"/>
          <w:szCs w:val="18"/>
        </w:rPr>
        <w:t>Forward-</w:t>
      </w:r>
      <w:r w:rsidRPr="00CC6407">
        <w:rPr>
          <w:spacing w:val="-4"/>
          <w:sz w:val="18"/>
          <w:szCs w:val="18"/>
        </w:rPr>
        <w:t xml:space="preserve"> </w:t>
      </w:r>
      <w:r w:rsidRPr="00CC6407">
        <w:rPr>
          <w:sz w:val="18"/>
          <w:szCs w:val="18"/>
        </w:rPr>
        <w:t>looking</w:t>
      </w:r>
      <w:r w:rsidRPr="00CC6407">
        <w:rPr>
          <w:spacing w:val="-3"/>
          <w:sz w:val="18"/>
          <w:szCs w:val="18"/>
        </w:rPr>
        <w:t xml:space="preserve"> </w:t>
      </w:r>
      <w:r w:rsidRPr="00CC6407">
        <w:rPr>
          <w:sz w:val="18"/>
          <w:szCs w:val="18"/>
        </w:rPr>
        <w:t xml:space="preserve">information contained in this press release may include, without limitation, exploration plans, results of operations, expected performance at the Project, the Company’s belief that the </w:t>
      </w:r>
      <w:proofErr w:type="spellStart"/>
      <w:r w:rsidRPr="00CC6407">
        <w:rPr>
          <w:sz w:val="18"/>
          <w:szCs w:val="18"/>
        </w:rPr>
        <w:t>Tangana</w:t>
      </w:r>
      <w:proofErr w:type="spellEnd"/>
      <w:r w:rsidRPr="00CC6407">
        <w:rPr>
          <w:sz w:val="18"/>
          <w:szCs w:val="18"/>
        </w:rPr>
        <w:t xml:space="preserve"> system will provide considerable resource expansion potential,</w:t>
      </w:r>
      <w:r w:rsidRPr="00CC6407">
        <w:rPr>
          <w:spacing w:val="-2"/>
          <w:sz w:val="18"/>
          <w:szCs w:val="18"/>
        </w:rPr>
        <w:t xml:space="preserve"> </w:t>
      </w:r>
      <w:r w:rsidRPr="00CC6407">
        <w:rPr>
          <w:sz w:val="18"/>
          <w:szCs w:val="18"/>
        </w:rPr>
        <w:t>that</w:t>
      </w:r>
      <w:r w:rsidRPr="00CC6407">
        <w:rPr>
          <w:spacing w:val="-3"/>
          <w:sz w:val="18"/>
          <w:szCs w:val="18"/>
        </w:rPr>
        <w:t xml:space="preserve"> </w:t>
      </w:r>
      <w:r w:rsidRPr="00CC6407">
        <w:rPr>
          <w:sz w:val="18"/>
          <w:szCs w:val="18"/>
        </w:rPr>
        <w:t>the Company</w:t>
      </w:r>
      <w:r w:rsidRPr="00CC6407">
        <w:rPr>
          <w:spacing w:val="-2"/>
          <w:sz w:val="18"/>
          <w:szCs w:val="18"/>
        </w:rPr>
        <w:t xml:space="preserve"> </w:t>
      </w:r>
      <w:r w:rsidRPr="00CC6407">
        <w:rPr>
          <w:sz w:val="18"/>
          <w:szCs w:val="18"/>
        </w:rPr>
        <w:t>will be</w:t>
      </w:r>
      <w:r w:rsidRPr="00CC6407">
        <w:rPr>
          <w:spacing w:val="-6"/>
          <w:sz w:val="18"/>
          <w:szCs w:val="18"/>
        </w:rPr>
        <w:t xml:space="preserve"> </w:t>
      </w:r>
      <w:r w:rsidRPr="00CC6407">
        <w:rPr>
          <w:sz w:val="18"/>
          <w:szCs w:val="18"/>
        </w:rPr>
        <w:t>able to</w:t>
      </w:r>
      <w:r w:rsidRPr="00CC6407">
        <w:rPr>
          <w:spacing w:val="-2"/>
          <w:sz w:val="18"/>
          <w:szCs w:val="18"/>
        </w:rPr>
        <w:t xml:space="preserve"> </w:t>
      </w:r>
      <w:r w:rsidRPr="00CC6407">
        <w:rPr>
          <w:sz w:val="18"/>
          <w:szCs w:val="18"/>
        </w:rPr>
        <w:t>mine the</w:t>
      </w:r>
      <w:r w:rsidRPr="00CC6407">
        <w:rPr>
          <w:spacing w:val="-7"/>
          <w:sz w:val="18"/>
          <w:szCs w:val="18"/>
        </w:rPr>
        <w:t xml:space="preserve"> </w:t>
      </w:r>
      <w:proofErr w:type="spellStart"/>
      <w:r w:rsidRPr="00CC6407">
        <w:rPr>
          <w:sz w:val="18"/>
          <w:szCs w:val="18"/>
        </w:rPr>
        <w:t>Tangana</w:t>
      </w:r>
      <w:proofErr w:type="spellEnd"/>
      <w:r w:rsidRPr="00CC6407">
        <w:rPr>
          <w:sz w:val="18"/>
          <w:szCs w:val="18"/>
        </w:rPr>
        <w:t xml:space="preserve"> Mining Unit</w:t>
      </w:r>
      <w:r w:rsidRPr="00CC6407">
        <w:rPr>
          <w:spacing w:val="-5"/>
          <w:sz w:val="18"/>
          <w:szCs w:val="18"/>
        </w:rPr>
        <w:t xml:space="preserve"> </w:t>
      </w:r>
      <w:r w:rsidRPr="00CC6407">
        <w:rPr>
          <w:sz w:val="18"/>
          <w:szCs w:val="18"/>
        </w:rPr>
        <w:t>in</w:t>
      </w:r>
      <w:r w:rsidRPr="00CC6407">
        <w:rPr>
          <w:spacing w:val="-2"/>
          <w:sz w:val="18"/>
          <w:szCs w:val="18"/>
        </w:rPr>
        <w:t xml:space="preserve"> </w:t>
      </w:r>
      <w:r w:rsidRPr="00CC6407">
        <w:rPr>
          <w:sz w:val="18"/>
          <w:szCs w:val="18"/>
        </w:rPr>
        <w:t>an economic</w:t>
      </w:r>
      <w:r w:rsidRPr="00CC6407">
        <w:rPr>
          <w:spacing w:val="-2"/>
          <w:sz w:val="18"/>
          <w:szCs w:val="18"/>
        </w:rPr>
        <w:t xml:space="preserve"> </w:t>
      </w:r>
      <w:r w:rsidRPr="00CC6407">
        <w:rPr>
          <w:sz w:val="18"/>
          <w:szCs w:val="18"/>
        </w:rPr>
        <w:t>manner,</w:t>
      </w:r>
      <w:r w:rsidRPr="00CC6407">
        <w:rPr>
          <w:spacing w:val="-4"/>
          <w:sz w:val="18"/>
          <w:szCs w:val="18"/>
        </w:rPr>
        <w:t xml:space="preserve"> </w:t>
      </w:r>
      <w:r w:rsidRPr="00CC6407">
        <w:rPr>
          <w:sz w:val="18"/>
          <w:szCs w:val="18"/>
        </w:rPr>
        <w:t>and the expected financial performance of the Company.</w:t>
      </w:r>
    </w:p>
    <w:p w14:paraId="64331A67" w14:textId="77777777" w:rsidR="00586E70" w:rsidRPr="00CC6407" w:rsidRDefault="00586E70" w:rsidP="00586E70">
      <w:pPr>
        <w:pStyle w:val="BodyText"/>
        <w:spacing w:before="6"/>
        <w:ind w:right="82"/>
        <w:jc w:val="both"/>
        <w:rPr>
          <w:sz w:val="18"/>
          <w:szCs w:val="18"/>
        </w:rPr>
      </w:pPr>
    </w:p>
    <w:p w14:paraId="1788D9D5" w14:textId="77777777" w:rsidR="00586E70" w:rsidRPr="00CC6407" w:rsidRDefault="00586E70" w:rsidP="00586E70">
      <w:pPr>
        <w:pStyle w:val="BodyText"/>
        <w:spacing w:before="1" w:line="242" w:lineRule="auto"/>
        <w:ind w:right="82"/>
        <w:jc w:val="both"/>
        <w:rPr>
          <w:sz w:val="18"/>
          <w:szCs w:val="18"/>
        </w:rPr>
      </w:pPr>
      <w:r w:rsidRPr="00CC6407">
        <w:rPr>
          <w:sz w:val="18"/>
          <w:szCs w:val="18"/>
        </w:rPr>
        <w:t>The</w:t>
      </w:r>
      <w:r w:rsidRPr="00CC6407">
        <w:rPr>
          <w:spacing w:val="-3"/>
          <w:sz w:val="18"/>
          <w:szCs w:val="18"/>
        </w:rPr>
        <w:t xml:space="preserve"> </w:t>
      </w:r>
      <w:r w:rsidRPr="00CC6407">
        <w:rPr>
          <w:sz w:val="18"/>
          <w:szCs w:val="18"/>
        </w:rPr>
        <w:t>following</w:t>
      </w:r>
      <w:r w:rsidRPr="00CC6407">
        <w:rPr>
          <w:spacing w:val="-3"/>
          <w:sz w:val="18"/>
          <w:szCs w:val="18"/>
        </w:rPr>
        <w:t xml:space="preserve"> </w:t>
      </w:r>
      <w:r w:rsidRPr="00CC6407">
        <w:rPr>
          <w:sz w:val="18"/>
          <w:szCs w:val="18"/>
        </w:rPr>
        <w:t>are</w:t>
      </w:r>
      <w:r w:rsidRPr="00CC6407">
        <w:rPr>
          <w:spacing w:val="-3"/>
          <w:sz w:val="18"/>
          <w:szCs w:val="18"/>
        </w:rPr>
        <w:t xml:space="preserve"> </w:t>
      </w:r>
      <w:r w:rsidRPr="00CC6407">
        <w:rPr>
          <w:sz w:val="18"/>
          <w:szCs w:val="18"/>
        </w:rPr>
        <w:t>some</w:t>
      </w:r>
      <w:r w:rsidRPr="00CC6407">
        <w:rPr>
          <w:spacing w:val="-3"/>
          <w:sz w:val="18"/>
          <w:szCs w:val="18"/>
        </w:rPr>
        <w:t xml:space="preserve"> </w:t>
      </w:r>
      <w:r w:rsidRPr="00CC6407">
        <w:rPr>
          <w:sz w:val="18"/>
          <w:szCs w:val="18"/>
        </w:rPr>
        <w:t>of</w:t>
      </w:r>
      <w:r w:rsidRPr="00CC6407">
        <w:rPr>
          <w:spacing w:val="-6"/>
          <w:sz w:val="18"/>
          <w:szCs w:val="18"/>
        </w:rPr>
        <w:t xml:space="preserve"> </w:t>
      </w:r>
      <w:r w:rsidRPr="00CC6407">
        <w:rPr>
          <w:sz w:val="18"/>
          <w:szCs w:val="18"/>
        </w:rPr>
        <w:t>the</w:t>
      </w:r>
      <w:r w:rsidRPr="00CC6407">
        <w:rPr>
          <w:spacing w:val="-3"/>
          <w:sz w:val="18"/>
          <w:szCs w:val="18"/>
        </w:rPr>
        <w:t xml:space="preserve"> </w:t>
      </w:r>
      <w:r w:rsidRPr="00CC6407">
        <w:rPr>
          <w:sz w:val="18"/>
          <w:szCs w:val="18"/>
        </w:rPr>
        <w:t>assumptions</w:t>
      </w:r>
      <w:r w:rsidRPr="00CC6407">
        <w:rPr>
          <w:spacing w:val="-4"/>
          <w:sz w:val="18"/>
          <w:szCs w:val="18"/>
        </w:rPr>
        <w:t xml:space="preserve"> </w:t>
      </w:r>
      <w:r w:rsidRPr="00CC6407">
        <w:rPr>
          <w:sz w:val="18"/>
          <w:szCs w:val="18"/>
        </w:rPr>
        <w:t>upon</w:t>
      </w:r>
      <w:r w:rsidRPr="00CC6407">
        <w:rPr>
          <w:spacing w:val="-3"/>
          <w:sz w:val="18"/>
          <w:szCs w:val="18"/>
        </w:rPr>
        <w:t xml:space="preserve"> </w:t>
      </w:r>
      <w:r w:rsidRPr="00CC6407">
        <w:rPr>
          <w:sz w:val="18"/>
          <w:szCs w:val="18"/>
        </w:rPr>
        <w:t>which</w:t>
      </w:r>
      <w:r w:rsidRPr="00CC6407">
        <w:rPr>
          <w:spacing w:val="-3"/>
          <w:sz w:val="18"/>
          <w:szCs w:val="18"/>
        </w:rPr>
        <w:t xml:space="preserve"> </w:t>
      </w:r>
      <w:r w:rsidRPr="00CC6407">
        <w:rPr>
          <w:sz w:val="18"/>
          <w:szCs w:val="18"/>
        </w:rPr>
        <w:t>forward-looking</w:t>
      </w:r>
      <w:r w:rsidRPr="00CC6407">
        <w:rPr>
          <w:spacing w:val="-3"/>
          <w:sz w:val="18"/>
          <w:szCs w:val="18"/>
        </w:rPr>
        <w:t xml:space="preserve"> </w:t>
      </w:r>
      <w:r w:rsidRPr="00CC6407">
        <w:rPr>
          <w:sz w:val="18"/>
          <w:szCs w:val="18"/>
        </w:rPr>
        <w:t>information</w:t>
      </w:r>
      <w:r w:rsidRPr="00CC6407">
        <w:rPr>
          <w:spacing w:val="-3"/>
          <w:sz w:val="18"/>
          <w:szCs w:val="18"/>
        </w:rPr>
        <w:t xml:space="preserve"> </w:t>
      </w:r>
      <w:r w:rsidRPr="00CC6407">
        <w:rPr>
          <w:sz w:val="18"/>
          <w:szCs w:val="18"/>
        </w:rPr>
        <w:t>is based: that general business and economic conditions will not change in a material  adverse manner; demand for, and stable or improving price for the commodities we produce;</w:t>
      </w:r>
      <w:r w:rsidRPr="00CC6407">
        <w:rPr>
          <w:spacing w:val="-5"/>
          <w:sz w:val="18"/>
          <w:szCs w:val="18"/>
        </w:rPr>
        <w:t xml:space="preserve"> </w:t>
      </w:r>
      <w:r w:rsidRPr="00CC6407">
        <w:rPr>
          <w:sz w:val="18"/>
          <w:szCs w:val="18"/>
        </w:rPr>
        <w:t>receipt</w:t>
      </w:r>
      <w:r w:rsidRPr="00CC6407">
        <w:rPr>
          <w:spacing w:val="-5"/>
          <w:sz w:val="18"/>
          <w:szCs w:val="18"/>
        </w:rPr>
        <w:t xml:space="preserve"> </w:t>
      </w:r>
      <w:r w:rsidRPr="00CC6407">
        <w:rPr>
          <w:sz w:val="18"/>
          <w:szCs w:val="18"/>
        </w:rPr>
        <w:t>of</w:t>
      </w:r>
      <w:r w:rsidRPr="00CC6407">
        <w:rPr>
          <w:spacing w:val="-5"/>
          <w:sz w:val="18"/>
          <w:szCs w:val="18"/>
        </w:rPr>
        <w:t xml:space="preserve"> </w:t>
      </w:r>
      <w:r w:rsidRPr="00CC6407">
        <w:rPr>
          <w:sz w:val="18"/>
          <w:szCs w:val="18"/>
        </w:rPr>
        <w:t>regulatory</w:t>
      </w:r>
      <w:r w:rsidRPr="00CC6407">
        <w:rPr>
          <w:spacing w:val="-3"/>
          <w:sz w:val="18"/>
          <w:szCs w:val="18"/>
        </w:rPr>
        <w:t xml:space="preserve"> </w:t>
      </w:r>
      <w:r w:rsidRPr="00CC6407">
        <w:rPr>
          <w:sz w:val="18"/>
          <w:szCs w:val="18"/>
        </w:rPr>
        <w:t>and</w:t>
      </w:r>
      <w:r w:rsidRPr="00CC6407">
        <w:rPr>
          <w:spacing w:val="-2"/>
          <w:sz w:val="18"/>
          <w:szCs w:val="18"/>
        </w:rPr>
        <w:t xml:space="preserve"> </w:t>
      </w:r>
      <w:r w:rsidRPr="00CC6407">
        <w:rPr>
          <w:sz w:val="18"/>
          <w:szCs w:val="18"/>
        </w:rPr>
        <w:t>governmental</w:t>
      </w:r>
      <w:r w:rsidRPr="00CC6407">
        <w:rPr>
          <w:spacing w:val="-7"/>
          <w:sz w:val="18"/>
          <w:szCs w:val="18"/>
        </w:rPr>
        <w:t xml:space="preserve"> </w:t>
      </w:r>
      <w:r w:rsidRPr="00CC6407">
        <w:rPr>
          <w:sz w:val="18"/>
          <w:szCs w:val="18"/>
        </w:rPr>
        <w:t>approvals,</w:t>
      </w:r>
      <w:r w:rsidRPr="00CC6407">
        <w:rPr>
          <w:spacing w:val="-5"/>
          <w:sz w:val="18"/>
          <w:szCs w:val="18"/>
        </w:rPr>
        <w:t xml:space="preserve"> </w:t>
      </w:r>
      <w:r w:rsidRPr="00CC6407">
        <w:rPr>
          <w:sz w:val="18"/>
          <w:szCs w:val="18"/>
        </w:rPr>
        <w:t>permits</w:t>
      </w:r>
      <w:r w:rsidRPr="00CC6407">
        <w:rPr>
          <w:spacing w:val="-3"/>
          <w:sz w:val="18"/>
          <w:szCs w:val="18"/>
        </w:rPr>
        <w:t xml:space="preserve"> </w:t>
      </w:r>
      <w:r w:rsidRPr="00CC6407">
        <w:rPr>
          <w:sz w:val="18"/>
          <w:szCs w:val="18"/>
        </w:rPr>
        <w:t>and</w:t>
      </w:r>
      <w:r w:rsidRPr="00CC6407">
        <w:rPr>
          <w:spacing w:val="-2"/>
          <w:sz w:val="18"/>
          <w:szCs w:val="18"/>
        </w:rPr>
        <w:t xml:space="preserve"> </w:t>
      </w:r>
      <w:r w:rsidRPr="00CC6407">
        <w:rPr>
          <w:sz w:val="18"/>
          <w:szCs w:val="18"/>
        </w:rPr>
        <w:t>renewals</w:t>
      </w:r>
      <w:r w:rsidRPr="00CC6407">
        <w:rPr>
          <w:spacing w:val="-3"/>
          <w:sz w:val="18"/>
          <w:szCs w:val="18"/>
        </w:rPr>
        <w:t xml:space="preserve"> </w:t>
      </w:r>
      <w:r w:rsidRPr="00CC6407">
        <w:rPr>
          <w:sz w:val="18"/>
          <w:szCs w:val="18"/>
        </w:rPr>
        <w:t>in</w:t>
      </w:r>
      <w:r w:rsidRPr="00CC6407">
        <w:rPr>
          <w:spacing w:val="-2"/>
          <w:sz w:val="18"/>
          <w:szCs w:val="18"/>
        </w:rPr>
        <w:t xml:space="preserve"> </w:t>
      </w:r>
      <w:r w:rsidRPr="00CC6407">
        <w:rPr>
          <w:sz w:val="18"/>
          <w:szCs w:val="18"/>
        </w:rPr>
        <w:t xml:space="preserve">a timely manner; that the Company will not experience any material accident, </w:t>
      </w:r>
      <w:proofErr w:type="spellStart"/>
      <w:r w:rsidRPr="00CC6407">
        <w:rPr>
          <w:sz w:val="18"/>
          <w:szCs w:val="18"/>
        </w:rPr>
        <w:t>labour</w:t>
      </w:r>
      <w:proofErr w:type="spellEnd"/>
      <w:r w:rsidRPr="00CC6407">
        <w:rPr>
          <w:sz w:val="18"/>
          <w:szCs w:val="18"/>
        </w:rPr>
        <w:t xml:space="preserve"> dispute or failure of plant or equipment or other </w:t>
      </w:r>
      <w:r w:rsidRPr="00CC6407">
        <w:rPr>
          <w:sz w:val="18"/>
          <w:szCs w:val="18"/>
        </w:rPr>
        <w:lastRenderedPageBreak/>
        <w:t>material disruption in</w:t>
      </w:r>
      <w:r w:rsidRPr="00CC6407">
        <w:rPr>
          <w:spacing w:val="-1"/>
          <w:sz w:val="18"/>
          <w:szCs w:val="18"/>
        </w:rPr>
        <w:t xml:space="preserve"> </w:t>
      </w:r>
      <w:r w:rsidRPr="00CC6407">
        <w:rPr>
          <w:sz w:val="18"/>
          <w:szCs w:val="18"/>
        </w:rPr>
        <w:t>the Company’s operations</w:t>
      </w:r>
      <w:r w:rsidRPr="00CC6407">
        <w:rPr>
          <w:spacing w:val="-3"/>
          <w:sz w:val="18"/>
          <w:szCs w:val="18"/>
        </w:rPr>
        <w:t xml:space="preserve"> </w:t>
      </w:r>
      <w:r w:rsidRPr="00CC6407">
        <w:rPr>
          <w:sz w:val="18"/>
          <w:szCs w:val="18"/>
        </w:rPr>
        <w:t>at</w:t>
      </w:r>
      <w:r w:rsidRPr="00CC6407">
        <w:rPr>
          <w:spacing w:val="-12"/>
          <w:sz w:val="18"/>
          <w:szCs w:val="18"/>
        </w:rPr>
        <w:t xml:space="preserve"> </w:t>
      </w:r>
      <w:r w:rsidRPr="00CC6407">
        <w:rPr>
          <w:sz w:val="18"/>
          <w:szCs w:val="18"/>
        </w:rPr>
        <w:t>the</w:t>
      </w:r>
      <w:r w:rsidRPr="00CC6407">
        <w:rPr>
          <w:spacing w:val="-2"/>
          <w:sz w:val="18"/>
          <w:szCs w:val="18"/>
        </w:rPr>
        <w:t xml:space="preserve"> </w:t>
      </w:r>
      <w:r w:rsidRPr="00CC6407">
        <w:rPr>
          <w:sz w:val="18"/>
          <w:szCs w:val="18"/>
        </w:rPr>
        <w:t>Project</w:t>
      </w:r>
      <w:r w:rsidRPr="00CC6407">
        <w:rPr>
          <w:spacing w:val="-11"/>
          <w:sz w:val="18"/>
          <w:szCs w:val="18"/>
        </w:rPr>
        <w:t xml:space="preserve"> </w:t>
      </w:r>
      <w:r w:rsidRPr="00CC6407">
        <w:rPr>
          <w:sz w:val="18"/>
          <w:szCs w:val="18"/>
        </w:rPr>
        <w:t>and</w:t>
      </w:r>
      <w:r w:rsidRPr="00CC6407">
        <w:rPr>
          <w:spacing w:val="-2"/>
          <w:sz w:val="18"/>
          <w:szCs w:val="18"/>
        </w:rPr>
        <w:t xml:space="preserve"> </w:t>
      </w:r>
      <w:r w:rsidRPr="00CC6407">
        <w:rPr>
          <w:sz w:val="18"/>
          <w:szCs w:val="18"/>
        </w:rPr>
        <w:t>Nueva</w:t>
      </w:r>
      <w:r w:rsidRPr="00CC6407">
        <w:rPr>
          <w:spacing w:val="-2"/>
          <w:sz w:val="18"/>
          <w:szCs w:val="18"/>
        </w:rPr>
        <w:t xml:space="preserve"> </w:t>
      </w:r>
      <w:proofErr w:type="spellStart"/>
      <w:r w:rsidRPr="00CC6407">
        <w:rPr>
          <w:sz w:val="18"/>
          <w:szCs w:val="18"/>
        </w:rPr>
        <w:t>Recuperada</w:t>
      </w:r>
      <w:proofErr w:type="spellEnd"/>
      <w:r w:rsidRPr="00CC6407">
        <w:rPr>
          <w:sz w:val="18"/>
          <w:szCs w:val="18"/>
        </w:rPr>
        <w:t xml:space="preserve"> Plant;</w:t>
      </w:r>
      <w:r w:rsidRPr="00CC6407">
        <w:rPr>
          <w:spacing w:val="-5"/>
          <w:sz w:val="18"/>
          <w:szCs w:val="18"/>
        </w:rPr>
        <w:t xml:space="preserve"> </w:t>
      </w:r>
      <w:r w:rsidRPr="00CC6407">
        <w:rPr>
          <w:sz w:val="18"/>
          <w:szCs w:val="18"/>
        </w:rPr>
        <w:t>the</w:t>
      </w:r>
      <w:r w:rsidRPr="00CC6407">
        <w:rPr>
          <w:spacing w:val="-8"/>
          <w:sz w:val="18"/>
          <w:szCs w:val="18"/>
        </w:rPr>
        <w:t xml:space="preserve"> </w:t>
      </w:r>
      <w:r w:rsidRPr="00CC6407">
        <w:rPr>
          <w:sz w:val="18"/>
          <w:szCs w:val="18"/>
        </w:rPr>
        <w:t>availability</w:t>
      </w:r>
      <w:r w:rsidRPr="00CC6407">
        <w:rPr>
          <w:spacing w:val="-2"/>
          <w:sz w:val="18"/>
          <w:szCs w:val="18"/>
        </w:rPr>
        <w:t xml:space="preserve"> </w:t>
      </w:r>
      <w:r w:rsidRPr="00CC6407">
        <w:rPr>
          <w:sz w:val="18"/>
          <w:szCs w:val="18"/>
        </w:rPr>
        <w:t>of</w:t>
      </w:r>
      <w:r w:rsidRPr="00CC6407">
        <w:rPr>
          <w:spacing w:val="-12"/>
          <w:sz w:val="18"/>
          <w:szCs w:val="18"/>
        </w:rPr>
        <w:t xml:space="preserve"> </w:t>
      </w:r>
      <w:r w:rsidRPr="00CC6407">
        <w:rPr>
          <w:sz w:val="18"/>
          <w:szCs w:val="18"/>
        </w:rPr>
        <w:t>financing</w:t>
      </w:r>
      <w:r w:rsidRPr="00CC6407">
        <w:rPr>
          <w:spacing w:val="-2"/>
          <w:sz w:val="18"/>
          <w:szCs w:val="18"/>
        </w:rPr>
        <w:t xml:space="preserve"> </w:t>
      </w:r>
      <w:r w:rsidRPr="00CC6407">
        <w:rPr>
          <w:sz w:val="18"/>
          <w:szCs w:val="18"/>
        </w:rPr>
        <w:t>for operations and development; the Company’s ability to procure equipment and operating supplies in sufficient quantities and on</w:t>
      </w:r>
      <w:r w:rsidRPr="00CC6407">
        <w:rPr>
          <w:spacing w:val="-6"/>
          <w:sz w:val="18"/>
          <w:szCs w:val="18"/>
        </w:rPr>
        <w:t xml:space="preserve"> </w:t>
      </w:r>
      <w:r w:rsidRPr="00CC6407">
        <w:rPr>
          <w:sz w:val="18"/>
          <w:szCs w:val="18"/>
        </w:rPr>
        <w:t>a timely basis; that the estimates of the</w:t>
      </w:r>
      <w:r w:rsidRPr="00CC6407">
        <w:rPr>
          <w:spacing w:val="-2"/>
          <w:sz w:val="18"/>
          <w:szCs w:val="18"/>
        </w:rPr>
        <w:t xml:space="preserve"> </w:t>
      </w:r>
      <w:r w:rsidRPr="00CC6407">
        <w:rPr>
          <w:sz w:val="18"/>
          <w:szCs w:val="18"/>
        </w:rPr>
        <w:t>resources</w:t>
      </w:r>
      <w:r w:rsidRPr="00CC6407">
        <w:rPr>
          <w:spacing w:val="-3"/>
          <w:sz w:val="18"/>
          <w:szCs w:val="18"/>
        </w:rPr>
        <w:t xml:space="preserve"> </w:t>
      </w:r>
      <w:r w:rsidRPr="00CC6407">
        <w:rPr>
          <w:sz w:val="18"/>
          <w:szCs w:val="18"/>
        </w:rPr>
        <w:t>at</w:t>
      </w:r>
      <w:r w:rsidRPr="00CC6407">
        <w:rPr>
          <w:spacing w:val="-5"/>
          <w:sz w:val="18"/>
          <w:szCs w:val="18"/>
        </w:rPr>
        <w:t xml:space="preserve"> </w:t>
      </w:r>
      <w:r w:rsidRPr="00CC6407">
        <w:rPr>
          <w:sz w:val="18"/>
          <w:szCs w:val="18"/>
        </w:rPr>
        <w:t>the</w:t>
      </w:r>
      <w:r w:rsidRPr="00CC6407">
        <w:rPr>
          <w:spacing w:val="-2"/>
          <w:sz w:val="18"/>
          <w:szCs w:val="18"/>
        </w:rPr>
        <w:t xml:space="preserve"> </w:t>
      </w:r>
      <w:r w:rsidRPr="00CC6407">
        <w:rPr>
          <w:sz w:val="18"/>
          <w:szCs w:val="18"/>
        </w:rPr>
        <w:t>Project</w:t>
      </w:r>
      <w:r w:rsidRPr="00CC6407">
        <w:rPr>
          <w:spacing w:val="-2"/>
          <w:sz w:val="18"/>
          <w:szCs w:val="18"/>
        </w:rPr>
        <w:t xml:space="preserve"> </w:t>
      </w:r>
      <w:r w:rsidRPr="00CC6407">
        <w:rPr>
          <w:sz w:val="18"/>
          <w:szCs w:val="18"/>
        </w:rPr>
        <w:t>and</w:t>
      </w:r>
      <w:r w:rsidRPr="00CC6407">
        <w:rPr>
          <w:spacing w:val="-2"/>
          <w:sz w:val="18"/>
          <w:szCs w:val="18"/>
        </w:rPr>
        <w:t xml:space="preserve"> </w:t>
      </w:r>
      <w:r w:rsidRPr="00CC6407">
        <w:rPr>
          <w:sz w:val="18"/>
          <w:szCs w:val="18"/>
        </w:rPr>
        <w:t>the</w:t>
      </w:r>
      <w:r w:rsidRPr="00CC6407">
        <w:rPr>
          <w:spacing w:val="-6"/>
          <w:sz w:val="18"/>
          <w:szCs w:val="18"/>
        </w:rPr>
        <w:t xml:space="preserve"> </w:t>
      </w:r>
      <w:r w:rsidRPr="00CC6407">
        <w:rPr>
          <w:sz w:val="18"/>
          <w:szCs w:val="18"/>
        </w:rPr>
        <w:t>geological,</w:t>
      </w:r>
      <w:r w:rsidRPr="00CC6407">
        <w:rPr>
          <w:spacing w:val="-10"/>
          <w:sz w:val="18"/>
          <w:szCs w:val="18"/>
        </w:rPr>
        <w:t xml:space="preserve"> </w:t>
      </w:r>
      <w:r w:rsidRPr="00CC6407">
        <w:rPr>
          <w:sz w:val="18"/>
          <w:szCs w:val="18"/>
        </w:rPr>
        <w:t>operational</w:t>
      </w:r>
      <w:r w:rsidRPr="00CC6407">
        <w:rPr>
          <w:spacing w:val="-2"/>
          <w:sz w:val="18"/>
          <w:szCs w:val="18"/>
        </w:rPr>
        <w:t xml:space="preserve"> </w:t>
      </w:r>
      <w:r w:rsidRPr="00CC6407">
        <w:rPr>
          <w:sz w:val="18"/>
          <w:szCs w:val="18"/>
        </w:rPr>
        <w:t>and price</w:t>
      </w:r>
      <w:r w:rsidRPr="00CC6407">
        <w:rPr>
          <w:spacing w:val="-2"/>
          <w:sz w:val="18"/>
          <w:szCs w:val="18"/>
        </w:rPr>
        <w:t xml:space="preserve"> </w:t>
      </w:r>
      <w:r w:rsidRPr="00CC6407">
        <w:rPr>
          <w:sz w:val="18"/>
          <w:szCs w:val="18"/>
        </w:rPr>
        <w:t>assumptions</w:t>
      </w:r>
      <w:r w:rsidRPr="00CC6407">
        <w:rPr>
          <w:spacing w:val="-3"/>
          <w:sz w:val="18"/>
          <w:szCs w:val="18"/>
        </w:rPr>
        <w:t xml:space="preserve"> </w:t>
      </w:r>
      <w:r w:rsidRPr="00CC6407">
        <w:rPr>
          <w:sz w:val="18"/>
          <w:szCs w:val="18"/>
        </w:rPr>
        <w:t>on which these and the Company’s operations are based are within reasonable bounds of</w:t>
      </w:r>
      <w:r w:rsidRPr="00CC6407">
        <w:rPr>
          <w:spacing w:val="-11"/>
          <w:sz w:val="18"/>
          <w:szCs w:val="18"/>
        </w:rPr>
        <w:t xml:space="preserve"> </w:t>
      </w:r>
      <w:r w:rsidRPr="00CC6407">
        <w:rPr>
          <w:sz w:val="18"/>
          <w:szCs w:val="18"/>
        </w:rPr>
        <w:t>accuracy</w:t>
      </w:r>
      <w:r w:rsidRPr="00CC6407">
        <w:rPr>
          <w:spacing w:val="-4"/>
          <w:sz w:val="18"/>
          <w:szCs w:val="18"/>
        </w:rPr>
        <w:t xml:space="preserve"> </w:t>
      </w:r>
      <w:r w:rsidRPr="00CC6407">
        <w:rPr>
          <w:sz w:val="18"/>
          <w:szCs w:val="18"/>
        </w:rPr>
        <w:t>(including</w:t>
      </w:r>
      <w:r w:rsidRPr="00CC6407">
        <w:rPr>
          <w:spacing w:val="-5"/>
          <w:sz w:val="18"/>
          <w:szCs w:val="18"/>
        </w:rPr>
        <w:t xml:space="preserve"> </w:t>
      </w:r>
      <w:r w:rsidRPr="00CC6407">
        <w:rPr>
          <w:sz w:val="18"/>
          <w:szCs w:val="18"/>
        </w:rPr>
        <w:t>with</w:t>
      </w:r>
      <w:r w:rsidRPr="00CC6407">
        <w:rPr>
          <w:spacing w:val="-2"/>
          <w:sz w:val="18"/>
          <w:szCs w:val="18"/>
        </w:rPr>
        <w:t xml:space="preserve"> </w:t>
      </w:r>
      <w:r w:rsidRPr="00CC6407">
        <w:rPr>
          <w:sz w:val="18"/>
          <w:szCs w:val="18"/>
        </w:rPr>
        <w:t>respect</w:t>
      </w:r>
      <w:r w:rsidRPr="00CC6407">
        <w:rPr>
          <w:spacing w:val="-6"/>
          <w:sz w:val="18"/>
          <w:szCs w:val="18"/>
        </w:rPr>
        <w:t xml:space="preserve"> </w:t>
      </w:r>
      <w:r w:rsidRPr="00CC6407">
        <w:rPr>
          <w:sz w:val="18"/>
          <w:szCs w:val="18"/>
        </w:rPr>
        <w:t>to</w:t>
      </w:r>
      <w:r w:rsidRPr="00CC6407">
        <w:rPr>
          <w:spacing w:val="-2"/>
          <w:sz w:val="18"/>
          <w:szCs w:val="18"/>
        </w:rPr>
        <w:t xml:space="preserve"> </w:t>
      </w:r>
      <w:r w:rsidRPr="00CC6407">
        <w:rPr>
          <w:sz w:val="18"/>
          <w:szCs w:val="18"/>
        </w:rPr>
        <w:t>size,</w:t>
      </w:r>
      <w:r w:rsidRPr="00CC6407">
        <w:rPr>
          <w:spacing w:val="-6"/>
          <w:sz w:val="18"/>
          <w:szCs w:val="18"/>
        </w:rPr>
        <w:t xml:space="preserve"> </w:t>
      </w:r>
      <w:r w:rsidRPr="00CC6407">
        <w:rPr>
          <w:sz w:val="18"/>
          <w:szCs w:val="18"/>
        </w:rPr>
        <w:t>grade</w:t>
      </w:r>
      <w:r w:rsidRPr="00CC6407">
        <w:rPr>
          <w:spacing w:val="-3"/>
          <w:sz w:val="18"/>
          <w:szCs w:val="18"/>
        </w:rPr>
        <w:t xml:space="preserve"> </w:t>
      </w:r>
      <w:r w:rsidRPr="00CC6407">
        <w:rPr>
          <w:sz w:val="18"/>
          <w:szCs w:val="18"/>
        </w:rPr>
        <w:t>and</w:t>
      </w:r>
      <w:r w:rsidRPr="00CC6407">
        <w:rPr>
          <w:spacing w:val="-1"/>
          <w:sz w:val="18"/>
          <w:szCs w:val="18"/>
        </w:rPr>
        <w:t xml:space="preserve"> </w:t>
      </w:r>
      <w:r w:rsidRPr="00CC6407">
        <w:rPr>
          <w:sz w:val="18"/>
          <w:szCs w:val="18"/>
        </w:rPr>
        <w:t>recovery);</w:t>
      </w:r>
      <w:r w:rsidRPr="00CC6407">
        <w:rPr>
          <w:spacing w:val="-18"/>
          <w:sz w:val="18"/>
          <w:szCs w:val="18"/>
        </w:rPr>
        <w:t xml:space="preserve"> </w:t>
      </w:r>
      <w:r w:rsidRPr="00CC6407">
        <w:rPr>
          <w:sz w:val="18"/>
          <w:szCs w:val="18"/>
        </w:rPr>
        <w:t>the</w:t>
      </w:r>
      <w:r w:rsidRPr="00CC6407">
        <w:rPr>
          <w:spacing w:val="-11"/>
          <w:sz w:val="18"/>
          <w:szCs w:val="18"/>
        </w:rPr>
        <w:t xml:space="preserve"> </w:t>
      </w:r>
      <w:r w:rsidRPr="00CC6407">
        <w:rPr>
          <w:sz w:val="18"/>
          <w:szCs w:val="18"/>
        </w:rPr>
        <w:t>Company’s</w:t>
      </w:r>
      <w:r w:rsidRPr="00CC6407">
        <w:rPr>
          <w:spacing w:val="-17"/>
          <w:sz w:val="18"/>
          <w:szCs w:val="18"/>
        </w:rPr>
        <w:t xml:space="preserve"> </w:t>
      </w:r>
      <w:r w:rsidRPr="00CC6407">
        <w:rPr>
          <w:sz w:val="18"/>
          <w:szCs w:val="18"/>
        </w:rPr>
        <w:t>ability to</w:t>
      </w:r>
      <w:r w:rsidRPr="00CC6407">
        <w:rPr>
          <w:spacing w:val="-6"/>
          <w:sz w:val="18"/>
          <w:szCs w:val="18"/>
        </w:rPr>
        <w:t xml:space="preserve"> </w:t>
      </w:r>
      <w:r w:rsidRPr="00CC6407">
        <w:rPr>
          <w:sz w:val="18"/>
          <w:szCs w:val="18"/>
        </w:rPr>
        <w:t>attract</w:t>
      </w:r>
      <w:r w:rsidRPr="00CC6407">
        <w:rPr>
          <w:spacing w:val="-2"/>
          <w:sz w:val="18"/>
          <w:szCs w:val="18"/>
        </w:rPr>
        <w:t xml:space="preserve"> </w:t>
      </w:r>
      <w:r w:rsidRPr="00CC6407">
        <w:rPr>
          <w:sz w:val="18"/>
          <w:szCs w:val="18"/>
        </w:rPr>
        <w:t>and</w:t>
      </w:r>
      <w:r w:rsidRPr="00CC6407">
        <w:rPr>
          <w:spacing w:val="-6"/>
          <w:sz w:val="18"/>
          <w:szCs w:val="18"/>
        </w:rPr>
        <w:t xml:space="preserve"> </w:t>
      </w:r>
      <w:r w:rsidRPr="00CC6407">
        <w:rPr>
          <w:sz w:val="18"/>
          <w:szCs w:val="18"/>
        </w:rPr>
        <w:t>retain skilled personnel and</w:t>
      </w:r>
      <w:r w:rsidRPr="00CC6407">
        <w:rPr>
          <w:spacing w:val="-5"/>
          <w:sz w:val="18"/>
          <w:szCs w:val="18"/>
        </w:rPr>
        <w:t xml:space="preserve"> </w:t>
      </w:r>
      <w:r w:rsidRPr="00CC6407">
        <w:rPr>
          <w:sz w:val="18"/>
          <w:szCs w:val="18"/>
        </w:rPr>
        <w:t>directors;</w:t>
      </w:r>
      <w:r w:rsidRPr="00CC6407">
        <w:rPr>
          <w:spacing w:val="-2"/>
          <w:sz w:val="18"/>
          <w:szCs w:val="18"/>
        </w:rPr>
        <w:t xml:space="preserve"> </w:t>
      </w:r>
      <w:r w:rsidRPr="00CC6407">
        <w:rPr>
          <w:sz w:val="18"/>
          <w:szCs w:val="18"/>
        </w:rPr>
        <w:t>and the</w:t>
      </w:r>
      <w:r w:rsidRPr="00CC6407">
        <w:rPr>
          <w:spacing w:val="-6"/>
          <w:sz w:val="18"/>
          <w:szCs w:val="18"/>
        </w:rPr>
        <w:t xml:space="preserve"> </w:t>
      </w:r>
      <w:r w:rsidRPr="00CC6407">
        <w:rPr>
          <w:sz w:val="18"/>
          <w:szCs w:val="18"/>
        </w:rPr>
        <w:t>ability of</w:t>
      </w:r>
      <w:r w:rsidRPr="00CC6407">
        <w:rPr>
          <w:spacing w:val="-10"/>
          <w:sz w:val="18"/>
          <w:szCs w:val="18"/>
        </w:rPr>
        <w:t xml:space="preserve"> </w:t>
      </w:r>
      <w:r w:rsidRPr="00CC6407">
        <w:rPr>
          <w:sz w:val="18"/>
          <w:szCs w:val="18"/>
        </w:rPr>
        <w:t>management</w:t>
      </w:r>
      <w:r w:rsidRPr="00CC6407">
        <w:rPr>
          <w:spacing w:val="-1"/>
          <w:sz w:val="18"/>
          <w:szCs w:val="18"/>
        </w:rPr>
        <w:t xml:space="preserve"> </w:t>
      </w:r>
      <w:r w:rsidRPr="00CC6407">
        <w:rPr>
          <w:sz w:val="18"/>
          <w:szCs w:val="18"/>
        </w:rPr>
        <w:t>to execute strategic goals.</w:t>
      </w:r>
    </w:p>
    <w:p w14:paraId="78196FE1" w14:textId="77777777" w:rsidR="00586E70" w:rsidRPr="00CC6407" w:rsidRDefault="00586E70" w:rsidP="00586E70">
      <w:pPr>
        <w:pStyle w:val="BodyText"/>
        <w:spacing w:before="3"/>
        <w:rPr>
          <w:sz w:val="18"/>
          <w:szCs w:val="18"/>
        </w:rPr>
      </w:pPr>
    </w:p>
    <w:p w14:paraId="02E61117" w14:textId="77777777" w:rsidR="00586E70" w:rsidRPr="00CC6407" w:rsidRDefault="00586E70" w:rsidP="00586E70">
      <w:pPr>
        <w:pStyle w:val="BodyText"/>
        <w:ind w:right="82"/>
        <w:jc w:val="both"/>
        <w:rPr>
          <w:sz w:val="18"/>
          <w:szCs w:val="18"/>
        </w:rPr>
      </w:pPr>
      <w:r w:rsidRPr="00CC6407">
        <w:rPr>
          <w:sz w:val="18"/>
          <w:szCs w:val="18"/>
        </w:rPr>
        <w:t>Forward-looking information is subject</w:t>
      </w:r>
      <w:r w:rsidRPr="00CC6407">
        <w:rPr>
          <w:spacing w:val="-2"/>
          <w:sz w:val="18"/>
          <w:szCs w:val="18"/>
        </w:rPr>
        <w:t xml:space="preserve"> </w:t>
      </w:r>
      <w:r w:rsidRPr="00CC6407">
        <w:rPr>
          <w:sz w:val="18"/>
          <w:szCs w:val="18"/>
        </w:rPr>
        <w:t>to known</w:t>
      </w:r>
      <w:r w:rsidRPr="00CC6407">
        <w:rPr>
          <w:spacing w:val="-4"/>
          <w:sz w:val="18"/>
          <w:szCs w:val="18"/>
        </w:rPr>
        <w:t xml:space="preserve"> </w:t>
      </w:r>
      <w:r w:rsidRPr="00CC6407">
        <w:rPr>
          <w:sz w:val="18"/>
          <w:szCs w:val="18"/>
        </w:rPr>
        <w:t>and unknown</w:t>
      </w:r>
      <w:r w:rsidRPr="00CC6407">
        <w:rPr>
          <w:spacing w:val="-4"/>
          <w:sz w:val="18"/>
          <w:szCs w:val="18"/>
        </w:rPr>
        <w:t xml:space="preserve"> </w:t>
      </w:r>
      <w:r w:rsidRPr="00CC6407">
        <w:rPr>
          <w:sz w:val="18"/>
          <w:szCs w:val="18"/>
        </w:rPr>
        <w:t>risks, uncertainties and other factors that</w:t>
      </w:r>
      <w:r w:rsidRPr="00CC6407">
        <w:rPr>
          <w:spacing w:val="-2"/>
          <w:sz w:val="18"/>
          <w:szCs w:val="18"/>
        </w:rPr>
        <w:t xml:space="preserve"> </w:t>
      </w:r>
      <w:r w:rsidRPr="00CC6407">
        <w:rPr>
          <w:sz w:val="18"/>
          <w:szCs w:val="18"/>
        </w:rPr>
        <w:t>may</w:t>
      </w:r>
      <w:r w:rsidRPr="00CC6407">
        <w:rPr>
          <w:spacing w:val="-7"/>
          <w:sz w:val="18"/>
          <w:szCs w:val="18"/>
        </w:rPr>
        <w:t xml:space="preserve"> </w:t>
      </w:r>
      <w:r w:rsidRPr="00CC6407">
        <w:rPr>
          <w:sz w:val="18"/>
          <w:szCs w:val="18"/>
        </w:rPr>
        <w:t>cause the actual results, level of activity, performance or achievements of the Company, as the case may be, to be materially different from those expressed or implied by such forward-looking information, including but not limited to those risks described in the Company’s annual and interim MD&amp;</w:t>
      </w:r>
      <w:proofErr w:type="spellStart"/>
      <w:r w:rsidRPr="00CC6407">
        <w:rPr>
          <w:sz w:val="18"/>
          <w:szCs w:val="18"/>
        </w:rPr>
        <w:t>As</w:t>
      </w:r>
      <w:proofErr w:type="spellEnd"/>
      <w:r w:rsidRPr="00CC6407">
        <w:rPr>
          <w:sz w:val="18"/>
          <w:szCs w:val="18"/>
        </w:rPr>
        <w:t xml:space="preserve"> and in</w:t>
      </w:r>
      <w:r w:rsidRPr="00CC6407">
        <w:rPr>
          <w:spacing w:val="40"/>
          <w:sz w:val="18"/>
          <w:szCs w:val="18"/>
        </w:rPr>
        <w:t xml:space="preserve"> </w:t>
      </w:r>
      <w:r w:rsidRPr="00CC6407">
        <w:rPr>
          <w:sz w:val="18"/>
          <w:szCs w:val="18"/>
        </w:rPr>
        <w:t xml:space="preserve">its public documents filed on </w:t>
      </w:r>
      <w:hyperlink r:id="rId9">
        <w:r w:rsidRPr="00CC6407">
          <w:rPr>
            <w:color w:val="0461C1"/>
            <w:sz w:val="18"/>
            <w:szCs w:val="18"/>
            <w:u w:val="single" w:color="0461C1"/>
          </w:rPr>
          <w:t>www.sedar.com</w:t>
        </w:r>
      </w:hyperlink>
      <w:r w:rsidRPr="00CC6407">
        <w:rPr>
          <w:color w:val="0461C1"/>
          <w:sz w:val="18"/>
          <w:szCs w:val="18"/>
        </w:rPr>
        <w:t xml:space="preserve"> </w:t>
      </w:r>
      <w:r w:rsidRPr="00CC6407">
        <w:rPr>
          <w:sz w:val="18"/>
          <w:szCs w:val="18"/>
        </w:rPr>
        <w:t>from time to time.</w:t>
      </w:r>
      <w:r w:rsidRPr="00CC6407">
        <w:rPr>
          <w:spacing w:val="40"/>
          <w:sz w:val="18"/>
          <w:szCs w:val="18"/>
        </w:rPr>
        <w:t xml:space="preserve"> </w:t>
      </w:r>
      <w:r w:rsidRPr="00CC6407">
        <w:rPr>
          <w:sz w:val="18"/>
          <w:szCs w:val="18"/>
        </w:rPr>
        <w:t>Forward- looking statements are based on the opinions and</w:t>
      </w:r>
      <w:r w:rsidRPr="00CC6407">
        <w:rPr>
          <w:spacing w:val="-6"/>
          <w:sz w:val="18"/>
          <w:szCs w:val="18"/>
        </w:rPr>
        <w:t xml:space="preserve"> </w:t>
      </w:r>
      <w:r w:rsidRPr="00CC6407">
        <w:rPr>
          <w:sz w:val="18"/>
          <w:szCs w:val="18"/>
        </w:rPr>
        <w:t>estimates of</w:t>
      </w:r>
      <w:r w:rsidRPr="00CC6407">
        <w:rPr>
          <w:spacing w:val="-4"/>
          <w:sz w:val="18"/>
          <w:szCs w:val="18"/>
        </w:rPr>
        <w:t xml:space="preserve"> </w:t>
      </w:r>
      <w:r w:rsidRPr="00CC6407">
        <w:rPr>
          <w:sz w:val="18"/>
          <w:szCs w:val="18"/>
        </w:rPr>
        <w:t>management</w:t>
      </w:r>
      <w:r w:rsidRPr="00CC6407">
        <w:rPr>
          <w:spacing w:val="-3"/>
          <w:sz w:val="18"/>
          <w:szCs w:val="18"/>
        </w:rPr>
        <w:t xml:space="preserve"> </w:t>
      </w:r>
      <w:r w:rsidRPr="00CC6407">
        <w:rPr>
          <w:sz w:val="18"/>
          <w:szCs w:val="18"/>
        </w:rPr>
        <w:t>as of</w:t>
      </w:r>
      <w:r w:rsidRPr="00CC6407">
        <w:rPr>
          <w:spacing w:val="-4"/>
          <w:sz w:val="18"/>
          <w:szCs w:val="18"/>
        </w:rPr>
        <w:t xml:space="preserve"> </w:t>
      </w:r>
      <w:r w:rsidRPr="00CC6407">
        <w:rPr>
          <w:sz w:val="18"/>
          <w:szCs w:val="18"/>
        </w:rPr>
        <w:t>the date such statements are made.</w:t>
      </w:r>
      <w:r w:rsidRPr="00CC6407">
        <w:rPr>
          <w:spacing w:val="40"/>
          <w:sz w:val="18"/>
          <w:szCs w:val="18"/>
        </w:rPr>
        <w:t xml:space="preserve"> </w:t>
      </w:r>
      <w:r w:rsidRPr="00CC6407">
        <w:rPr>
          <w:sz w:val="18"/>
          <w:szCs w:val="18"/>
        </w:rPr>
        <w:t>Although the Company has attempted to identify important factors that could cause actual results to differ materially from those contained</w:t>
      </w:r>
      <w:r w:rsidRPr="00CC6407">
        <w:rPr>
          <w:spacing w:val="-3"/>
          <w:sz w:val="18"/>
          <w:szCs w:val="18"/>
        </w:rPr>
        <w:t xml:space="preserve"> </w:t>
      </w:r>
      <w:r w:rsidRPr="00CC6407">
        <w:rPr>
          <w:sz w:val="18"/>
          <w:szCs w:val="18"/>
        </w:rPr>
        <w:t>in</w:t>
      </w:r>
      <w:r w:rsidRPr="00CC6407">
        <w:rPr>
          <w:spacing w:val="-3"/>
          <w:sz w:val="18"/>
          <w:szCs w:val="18"/>
        </w:rPr>
        <w:t xml:space="preserve"> </w:t>
      </w:r>
      <w:r w:rsidRPr="00CC6407">
        <w:rPr>
          <w:sz w:val="18"/>
          <w:szCs w:val="18"/>
        </w:rPr>
        <w:t>forward-looking</w:t>
      </w:r>
      <w:r w:rsidRPr="00CC6407">
        <w:rPr>
          <w:spacing w:val="-3"/>
          <w:sz w:val="18"/>
          <w:szCs w:val="18"/>
        </w:rPr>
        <w:t xml:space="preserve"> </w:t>
      </w:r>
      <w:r w:rsidRPr="00CC6407">
        <w:rPr>
          <w:sz w:val="18"/>
          <w:szCs w:val="18"/>
        </w:rPr>
        <w:t>information,</w:t>
      </w:r>
      <w:r w:rsidRPr="00CC6407">
        <w:rPr>
          <w:spacing w:val="-6"/>
          <w:sz w:val="18"/>
          <w:szCs w:val="18"/>
        </w:rPr>
        <w:t xml:space="preserve"> </w:t>
      </w:r>
      <w:r w:rsidRPr="00CC6407">
        <w:rPr>
          <w:sz w:val="18"/>
          <w:szCs w:val="18"/>
        </w:rPr>
        <w:t>there</w:t>
      </w:r>
      <w:r w:rsidRPr="00CC6407">
        <w:rPr>
          <w:spacing w:val="-3"/>
          <w:sz w:val="18"/>
          <w:szCs w:val="18"/>
        </w:rPr>
        <w:t xml:space="preserve"> </w:t>
      </w:r>
      <w:r w:rsidRPr="00CC6407">
        <w:rPr>
          <w:sz w:val="18"/>
          <w:szCs w:val="18"/>
        </w:rPr>
        <w:t>may</w:t>
      </w:r>
      <w:r w:rsidRPr="00CC6407">
        <w:rPr>
          <w:spacing w:val="-4"/>
          <w:sz w:val="18"/>
          <w:szCs w:val="18"/>
        </w:rPr>
        <w:t xml:space="preserve"> </w:t>
      </w:r>
      <w:r w:rsidRPr="00CC6407">
        <w:rPr>
          <w:sz w:val="18"/>
          <w:szCs w:val="18"/>
        </w:rPr>
        <w:t>be other</w:t>
      </w:r>
      <w:r w:rsidRPr="00CC6407">
        <w:rPr>
          <w:spacing w:val="-4"/>
          <w:sz w:val="18"/>
          <w:szCs w:val="18"/>
        </w:rPr>
        <w:t xml:space="preserve"> </w:t>
      </w:r>
      <w:r w:rsidRPr="00CC6407">
        <w:rPr>
          <w:sz w:val="18"/>
          <w:szCs w:val="18"/>
        </w:rPr>
        <w:t>factors</w:t>
      </w:r>
      <w:r w:rsidRPr="00CC6407">
        <w:rPr>
          <w:spacing w:val="-4"/>
          <w:sz w:val="18"/>
          <w:szCs w:val="18"/>
        </w:rPr>
        <w:t xml:space="preserve"> </w:t>
      </w:r>
      <w:r w:rsidRPr="00CC6407">
        <w:rPr>
          <w:sz w:val="18"/>
          <w:szCs w:val="18"/>
        </w:rPr>
        <w:t>that</w:t>
      </w:r>
      <w:r w:rsidRPr="00CC6407">
        <w:rPr>
          <w:spacing w:val="-9"/>
          <w:sz w:val="18"/>
          <w:szCs w:val="18"/>
        </w:rPr>
        <w:t xml:space="preserve"> </w:t>
      </w:r>
      <w:r w:rsidRPr="00CC6407">
        <w:rPr>
          <w:sz w:val="18"/>
          <w:szCs w:val="18"/>
        </w:rPr>
        <w:t>cause</w:t>
      </w:r>
      <w:r w:rsidRPr="00CC6407">
        <w:rPr>
          <w:spacing w:val="-3"/>
          <w:sz w:val="18"/>
          <w:szCs w:val="18"/>
        </w:rPr>
        <w:t xml:space="preserve"> </w:t>
      </w:r>
      <w:r w:rsidRPr="00CC6407">
        <w:rPr>
          <w:sz w:val="18"/>
          <w:szCs w:val="18"/>
        </w:rPr>
        <w:t>results not to be as anticipated, estimated or intended. There can</w:t>
      </w:r>
      <w:r w:rsidRPr="00CC6407">
        <w:rPr>
          <w:spacing w:val="-2"/>
          <w:sz w:val="18"/>
          <w:szCs w:val="18"/>
        </w:rPr>
        <w:t xml:space="preserve"> </w:t>
      </w:r>
      <w:r w:rsidRPr="00CC6407">
        <w:rPr>
          <w:sz w:val="18"/>
          <w:szCs w:val="18"/>
        </w:rPr>
        <w:t>be no assurance that such information will prove to be accurate, as actual results and future events could differ materially from those anticipated in such statements. Accordingly, readers should not place undue reliance on forward- looking information. The Company does not undertake to</w:t>
      </w:r>
      <w:r w:rsidRPr="00CC6407">
        <w:rPr>
          <w:spacing w:val="-3"/>
          <w:sz w:val="18"/>
          <w:szCs w:val="18"/>
        </w:rPr>
        <w:t xml:space="preserve"> </w:t>
      </w:r>
      <w:r w:rsidRPr="00CC6407">
        <w:rPr>
          <w:sz w:val="18"/>
          <w:szCs w:val="18"/>
        </w:rPr>
        <w:t>update any forward-looking information, except in accordance with applicable securities laws.</w:t>
      </w:r>
    </w:p>
    <w:p w14:paraId="2F642C8C" w14:textId="25B9ED40" w:rsidR="00DC5290" w:rsidRPr="008227DA" w:rsidRDefault="00DC5290" w:rsidP="00586E70">
      <w:pPr>
        <w:pStyle w:val="SectionHeading"/>
        <w:rPr>
          <w:rFonts w:cs="Arial"/>
          <w:sz w:val="24"/>
          <w:szCs w:val="24"/>
        </w:rPr>
      </w:pPr>
    </w:p>
    <w:sectPr w:rsidR="00DC5290" w:rsidRPr="008227DA" w:rsidSect="00034616">
      <w:footerReference w:type="default" r:id="rId10"/>
      <w:pgSz w:w="12240" w:h="15840"/>
      <w:pgMar w:top="1224" w:right="1325" w:bottom="936" w:left="133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1229AA" w14:textId="77777777" w:rsidR="006D1E0D" w:rsidRDefault="006D1E0D">
      <w:pPr>
        <w:spacing w:after="0" w:line="240" w:lineRule="auto"/>
      </w:pPr>
      <w:r>
        <w:separator/>
      </w:r>
    </w:p>
  </w:endnote>
  <w:endnote w:type="continuationSeparator" w:id="0">
    <w:p w14:paraId="0C03CFA5" w14:textId="77777777" w:rsidR="006D1E0D" w:rsidRDefault="006D1E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00000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C77D5" w14:textId="77777777" w:rsidR="00DC5290" w:rsidRDefault="00BE3DEA">
    <w:pPr>
      <w:pStyle w:val="Footer"/>
      <w:jc w:val="center"/>
    </w:pPr>
    <w:r>
      <w:rPr>
        <w:sz w:val="16"/>
      </w:rPr>
      <w:fldChar w:fldCharType="begin"/>
    </w:r>
    <w:r>
      <w:rPr>
        <w:sz w:val="16"/>
      </w:rPr>
      <w:instrText>PAGE</w:instrText>
    </w:r>
    <w:r>
      <w:rPr>
        <w:sz w:val="16"/>
      </w:rPr>
      <w:fldChar w:fldCharType="separate"/>
    </w:r>
    <w:r w:rsidR="003561F6">
      <w:rPr>
        <w:noProof/>
        <w:sz w:val="16"/>
      </w:rPr>
      <w:t>1</w:t>
    </w:r>
    <w:r>
      <w:rPr>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84EFFA" w14:textId="77777777" w:rsidR="006D1E0D" w:rsidRDefault="006D1E0D">
      <w:pPr>
        <w:spacing w:after="0" w:line="240" w:lineRule="auto"/>
      </w:pPr>
      <w:r>
        <w:separator/>
      </w:r>
    </w:p>
  </w:footnote>
  <w:footnote w:type="continuationSeparator" w:id="0">
    <w:p w14:paraId="5BE70CB1" w14:textId="77777777" w:rsidR="006D1E0D" w:rsidRDefault="006D1E0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D7E4369"/>
    <w:multiLevelType w:val="multilevel"/>
    <w:tmpl w:val="C4489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59A7B94"/>
    <w:multiLevelType w:val="hybridMultilevel"/>
    <w:tmpl w:val="8436A892"/>
    <w:lvl w:ilvl="0" w:tplc="C77C9B46">
      <w:numFmt w:val="bullet"/>
      <w:lvlText w:val="•"/>
      <w:lvlJc w:val="left"/>
      <w:pPr>
        <w:ind w:left="504" w:hanging="360"/>
      </w:pPr>
      <w:rPr>
        <w:rFonts w:ascii="Arial" w:eastAsia="Arial" w:hAnsi="Arial"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1" w15:restartNumberingAfterBreak="0">
    <w:nsid w:val="237C0128"/>
    <w:multiLevelType w:val="multilevel"/>
    <w:tmpl w:val="13B0C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5FB4FFC"/>
    <w:multiLevelType w:val="multilevel"/>
    <w:tmpl w:val="6674D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7C614C6"/>
    <w:multiLevelType w:val="multilevel"/>
    <w:tmpl w:val="3D38F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A2F7D8F"/>
    <w:multiLevelType w:val="hybridMultilevel"/>
    <w:tmpl w:val="4ACAB4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A5408D0"/>
    <w:multiLevelType w:val="multilevel"/>
    <w:tmpl w:val="7C1A9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CAA2814"/>
    <w:multiLevelType w:val="multilevel"/>
    <w:tmpl w:val="64B4C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5C452F9"/>
    <w:multiLevelType w:val="multilevel"/>
    <w:tmpl w:val="E42CE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C956598"/>
    <w:multiLevelType w:val="multilevel"/>
    <w:tmpl w:val="A7DC4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7B82421"/>
    <w:multiLevelType w:val="hybridMultilevel"/>
    <w:tmpl w:val="9D6227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71870EC"/>
    <w:multiLevelType w:val="hybridMultilevel"/>
    <w:tmpl w:val="45F64210"/>
    <w:lvl w:ilvl="0" w:tplc="C77C9B46">
      <w:numFmt w:val="bullet"/>
      <w:lvlText w:val="•"/>
      <w:lvlJc w:val="left"/>
      <w:pPr>
        <w:ind w:left="504" w:hanging="360"/>
      </w:pPr>
      <w:rPr>
        <w:rFonts w:ascii="Arial" w:eastAsia="Arial" w:hAnsi="Arial" w:cs="Arial" w:hint="default"/>
      </w:rPr>
    </w:lvl>
    <w:lvl w:ilvl="1" w:tplc="280A0003" w:tentative="1">
      <w:start w:val="1"/>
      <w:numFmt w:val="bullet"/>
      <w:lvlText w:val="o"/>
      <w:lvlJc w:val="left"/>
      <w:pPr>
        <w:ind w:left="1224" w:hanging="360"/>
      </w:pPr>
      <w:rPr>
        <w:rFonts w:ascii="Courier New" w:hAnsi="Courier New" w:cs="Courier New" w:hint="default"/>
      </w:rPr>
    </w:lvl>
    <w:lvl w:ilvl="2" w:tplc="280A0005" w:tentative="1">
      <w:start w:val="1"/>
      <w:numFmt w:val="bullet"/>
      <w:lvlText w:val=""/>
      <w:lvlJc w:val="left"/>
      <w:pPr>
        <w:ind w:left="1944" w:hanging="360"/>
      </w:pPr>
      <w:rPr>
        <w:rFonts w:ascii="Wingdings" w:hAnsi="Wingdings" w:hint="default"/>
      </w:rPr>
    </w:lvl>
    <w:lvl w:ilvl="3" w:tplc="280A0001" w:tentative="1">
      <w:start w:val="1"/>
      <w:numFmt w:val="bullet"/>
      <w:lvlText w:val=""/>
      <w:lvlJc w:val="left"/>
      <w:pPr>
        <w:ind w:left="2664" w:hanging="360"/>
      </w:pPr>
      <w:rPr>
        <w:rFonts w:ascii="Symbol" w:hAnsi="Symbol" w:hint="default"/>
      </w:rPr>
    </w:lvl>
    <w:lvl w:ilvl="4" w:tplc="280A0003" w:tentative="1">
      <w:start w:val="1"/>
      <w:numFmt w:val="bullet"/>
      <w:lvlText w:val="o"/>
      <w:lvlJc w:val="left"/>
      <w:pPr>
        <w:ind w:left="3384" w:hanging="360"/>
      </w:pPr>
      <w:rPr>
        <w:rFonts w:ascii="Courier New" w:hAnsi="Courier New" w:cs="Courier New" w:hint="default"/>
      </w:rPr>
    </w:lvl>
    <w:lvl w:ilvl="5" w:tplc="280A0005" w:tentative="1">
      <w:start w:val="1"/>
      <w:numFmt w:val="bullet"/>
      <w:lvlText w:val=""/>
      <w:lvlJc w:val="left"/>
      <w:pPr>
        <w:ind w:left="4104" w:hanging="360"/>
      </w:pPr>
      <w:rPr>
        <w:rFonts w:ascii="Wingdings" w:hAnsi="Wingdings" w:hint="default"/>
      </w:rPr>
    </w:lvl>
    <w:lvl w:ilvl="6" w:tplc="280A0001" w:tentative="1">
      <w:start w:val="1"/>
      <w:numFmt w:val="bullet"/>
      <w:lvlText w:val=""/>
      <w:lvlJc w:val="left"/>
      <w:pPr>
        <w:ind w:left="4824" w:hanging="360"/>
      </w:pPr>
      <w:rPr>
        <w:rFonts w:ascii="Symbol" w:hAnsi="Symbol" w:hint="default"/>
      </w:rPr>
    </w:lvl>
    <w:lvl w:ilvl="7" w:tplc="280A0003" w:tentative="1">
      <w:start w:val="1"/>
      <w:numFmt w:val="bullet"/>
      <w:lvlText w:val="o"/>
      <w:lvlJc w:val="left"/>
      <w:pPr>
        <w:ind w:left="5544" w:hanging="360"/>
      </w:pPr>
      <w:rPr>
        <w:rFonts w:ascii="Courier New" w:hAnsi="Courier New" w:cs="Courier New" w:hint="default"/>
      </w:rPr>
    </w:lvl>
    <w:lvl w:ilvl="8" w:tplc="280A0005" w:tentative="1">
      <w:start w:val="1"/>
      <w:numFmt w:val="bullet"/>
      <w:lvlText w:val=""/>
      <w:lvlJc w:val="left"/>
      <w:pPr>
        <w:ind w:left="6264" w:hanging="360"/>
      </w:pPr>
      <w:rPr>
        <w:rFonts w:ascii="Wingdings" w:hAnsi="Wingdings" w:hint="default"/>
      </w:rPr>
    </w:lvl>
  </w:abstractNum>
  <w:abstractNum w:abstractNumId="21" w15:restartNumberingAfterBreak="0">
    <w:nsid w:val="637374DD"/>
    <w:multiLevelType w:val="hybridMultilevel"/>
    <w:tmpl w:val="13F272EA"/>
    <w:lvl w:ilvl="0" w:tplc="C77C9B46">
      <w:numFmt w:val="bullet"/>
      <w:lvlText w:val="•"/>
      <w:lvlJc w:val="left"/>
      <w:pPr>
        <w:ind w:left="648" w:hanging="360"/>
      </w:pPr>
      <w:rPr>
        <w:rFonts w:ascii="Arial" w:eastAsia="Arial" w:hAnsi="Arial" w:cs="Arial" w:hint="default"/>
      </w:rPr>
    </w:lvl>
    <w:lvl w:ilvl="1" w:tplc="280A0003" w:tentative="1">
      <w:start w:val="1"/>
      <w:numFmt w:val="bullet"/>
      <w:lvlText w:val="o"/>
      <w:lvlJc w:val="left"/>
      <w:pPr>
        <w:ind w:left="1584" w:hanging="360"/>
      </w:pPr>
      <w:rPr>
        <w:rFonts w:ascii="Courier New" w:hAnsi="Courier New" w:cs="Courier New" w:hint="default"/>
      </w:rPr>
    </w:lvl>
    <w:lvl w:ilvl="2" w:tplc="280A0005" w:tentative="1">
      <w:start w:val="1"/>
      <w:numFmt w:val="bullet"/>
      <w:lvlText w:val=""/>
      <w:lvlJc w:val="left"/>
      <w:pPr>
        <w:ind w:left="2304" w:hanging="360"/>
      </w:pPr>
      <w:rPr>
        <w:rFonts w:ascii="Wingdings" w:hAnsi="Wingdings" w:hint="default"/>
      </w:rPr>
    </w:lvl>
    <w:lvl w:ilvl="3" w:tplc="280A0001" w:tentative="1">
      <w:start w:val="1"/>
      <w:numFmt w:val="bullet"/>
      <w:lvlText w:val=""/>
      <w:lvlJc w:val="left"/>
      <w:pPr>
        <w:ind w:left="3024" w:hanging="360"/>
      </w:pPr>
      <w:rPr>
        <w:rFonts w:ascii="Symbol" w:hAnsi="Symbol" w:hint="default"/>
      </w:rPr>
    </w:lvl>
    <w:lvl w:ilvl="4" w:tplc="280A0003" w:tentative="1">
      <w:start w:val="1"/>
      <w:numFmt w:val="bullet"/>
      <w:lvlText w:val="o"/>
      <w:lvlJc w:val="left"/>
      <w:pPr>
        <w:ind w:left="3744" w:hanging="360"/>
      </w:pPr>
      <w:rPr>
        <w:rFonts w:ascii="Courier New" w:hAnsi="Courier New" w:cs="Courier New" w:hint="default"/>
      </w:rPr>
    </w:lvl>
    <w:lvl w:ilvl="5" w:tplc="280A0005" w:tentative="1">
      <w:start w:val="1"/>
      <w:numFmt w:val="bullet"/>
      <w:lvlText w:val=""/>
      <w:lvlJc w:val="left"/>
      <w:pPr>
        <w:ind w:left="4464" w:hanging="360"/>
      </w:pPr>
      <w:rPr>
        <w:rFonts w:ascii="Wingdings" w:hAnsi="Wingdings" w:hint="default"/>
      </w:rPr>
    </w:lvl>
    <w:lvl w:ilvl="6" w:tplc="280A0001" w:tentative="1">
      <w:start w:val="1"/>
      <w:numFmt w:val="bullet"/>
      <w:lvlText w:val=""/>
      <w:lvlJc w:val="left"/>
      <w:pPr>
        <w:ind w:left="5184" w:hanging="360"/>
      </w:pPr>
      <w:rPr>
        <w:rFonts w:ascii="Symbol" w:hAnsi="Symbol" w:hint="default"/>
      </w:rPr>
    </w:lvl>
    <w:lvl w:ilvl="7" w:tplc="280A0003" w:tentative="1">
      <w:start w:val="1"/>
      <w:numFmt w:val="bullet"/>
      <w:lvlText w:val="o"/>
      <w:lvlJc w:val="left"/>
      <w:pPr>
        <w:ind w:left="5904" w:hanging="360"/>
      </w:pPr>
      <w:rPr>
        <w:rFonts w:ascii="Courier New" w:hAnsi="Courier New" w:cs="Courier New" w:hint="default"/>
      </w:rPr>
    </w:lvl>
    <w:lvl w:ilvl="8" w:tplc="280A0005" w:tentative="1">
      <w:start w:val="1"/>
      <w:numFmt w:val="bullet"/>
      <w:lvlText w:val=""/>
      <w:lvlJc w:val="left"/>
      <w:pPr>
        <w:ind w:left="6624" w:hanging="360"/>
      </w:pPr>
      <w:rPr>
        <w:rFonts w:ascii="Wingdings" w:hAnsi="Wingdings" w:hint="default"/>
      </w:rPr>
    </w:lvl>
  </w:abstractNum>
  <w:abstractNum w:abstractNumId="22" w15:restartNumberingAfterBreak="0">
    <w:nsid w:val="68AB2EC9"/>
    <w:multiLevelType w:val="hybridMultilevel"/>
    <w:tmpl w:val="FFA85F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8B232CC"/>
    <w:multiLevelType w:val="hybridMultilevel"/>
    <w:tmpl w:val="021A00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1191B50"/>
    <w:multiLevelType w:val="hybridMultilevel"/>
    <w:tmpl w:val="28E2E740"/>
    <w:lvl w:ilvl="0" w:tplc="280A0001">
      <w:start w:val="1"/>
      <w:numFmt w:val="bullet"/>
      <w:lvlText w:val=""/>
      <w:lvlJc w:val="left"/>
      <w:pPr>
        <w:ind w:left="864" w:hanging="360"/>
      </w:pPr>
      <w:rPr>
        <w:rFonts w:ascii="Symbol" w:hAnsi="Symbol" w:hint="default"/>
      </w:rPr>
    </w:lvl>
    <w:lvl w:ilvl="1" w:tplc="280A0003" w:tentative="1">
      <w:start w:val="1"/>
      <w:numFmt w:val="bullet"/>
      <w:lvlText w:val="o"/>
      <w:lvlJc w:val="left"/>
      <w:pPr>
        <w:ind w:left="1584" w:hanging="360"/>
      </w:pPr>
      <w:rPr>
        <w:rFonts w:ascii="Courier New" w:hAnsi="Courier New" w:cs="Courier New" w:hint="default"/>
      </w:rPr>
    </w:lvl>
    <w:lvl w:ilvl="2" w:tplc="280A0005" w:tentative="1">
      <w:start w:val="1"/>
      <w:numFmt w:val="bullet"/>
      <w:lvlText w:val=""/>
      <w:lvlJc w:val="left"/>
      <w:pPr>
        <w:ind w:left="2304" w:hanging="360"/>
      </w:pPr>
      <w:rPr>
        <w:rFonts w:ascii="Wingdings" w:hAnsi="Wingdings" w:hint="default"/>
      </w:rPr>
    </w:lvl>
    <w:lvl w:ilvl="3" w:tplc="280A0001" w:tentative="1">
      <w:start w:val="1"/>
      <w:numFmt w:val="bullet"/>
      <w:lvlText w:val=""/>
      <w:lvlJc w:val="left"/>
      <w:pPr>
        <w:ind w:left="3024" w:hanging="360"/>
      </w:pPr>
      <w:rPr>
        <w:rFonts w:ascii="Symbol" w:hAnsi="Symbol" w:hint="default"/>
      </w:rPr>
    </w:lvl>
    <w:lvl w:ilvl="4" w:tplc="280A0003" w:tentative="1">
      <w:start w:val="1"/>
      <w:numFmt w:val="bullet"/>
      <w:lvlText w:val="o"/>
      <w:lvlJc w:val="left"/>
      <w:pPr>
        <w:ind w:left="3744" w:hanging="360"/>
      </w:pPr>
      <w:rPr>
        <w:rFonts w:ascii="Courier New" w:hAnsi="Courier New" w:cs="Courier New" w:hint="default"/>
      </w:rPr>
    </w:lvl>
    <w:lvl w:ilvl="5" w:tplc="280A0005" w:tentative="1">
      <w:start w:val="1"/>
      <w:numFmt w:val="bullet"/>
      <w:lvlText w:val=""/>
      <w:lvlJc w:val="left"/>
      <w:pPr>
        <w:ind w:left="4464" w:hanging="360"/>
      </w:pPr>
      <w:rPr>
        <w:rFonts w:ascii="Wingdings" w:hAnsi="Wingdings" w:hint="default"/>
      </w:rPr>
    </w:lvl>
    <w:lvl w:ilvl="6" w:tplc="280A0001" w:tentative="1">
      <w:start w:val="1"/>
      <w:numFmt w:val="bullet"/>
      <w:lvlText w:val=""/>
      <w:lvlJc w:val="left"/>
      <w:pPr>
        <w:ind w:left="5184" w:hanging="360"/>
      </w:pPr>
      <w:rPr>
        <w:rFonts w:ascii="Symbol" w:hAnsi="Symbol" w:hint="default"/>
      </w:rPr>
    </w:lvl>
    <w:lvl w:ilvl="7" w:tplc="280A0003" w:tentative="1">
      <w:start w:val="1"/>
      <w:numFmt w:val="bullet"/>
      <w:lvlText w:val="o"/>
      <w:lvlJc w:val="left"/>
      <w:pPr>
        <w:ind w:left="5904" w:hanging="360"/>
      </w:pPr>
      <w:rPr>
        <w:rFonts w:ascii="Courier New" w:hAnsi="Courier New" w:cs="Courier New" w:hint="default"/>
      </w:rPr>
    </w:lvl>
    <w:lvl w:ilvl="8" w:tplc="280A0005" w:tentative="1">
      <w:start w:val="1"/>
      <w:numFmt w:val="bullet"/>
      <w:lvlText w:val=""/>
      <w:lvlJc w:val="left"/>
      <w:pPr>
        <w:ind w:left="6624" w:hanging="360"/>
      </w:pPr>
      <w:rPr>
        <w:rFonts w:ascii="Wingdings" w:hAnsi="Wingdings" w:hint="default"/>
      </w:rPr>
    </w:lvl>
  </w:abstractNum>
  <w:num w:numId="1" w16cid:durableId="1713849091">
    <w:abstractNumId w:val="8"/>
  </w:num>
  <w:num w:numId="2" w16cid:durableId="577059766">
    <w:abstractNumId w:val="6"/>
  </w:num>
  <w:num w:numId="3" w16cid:durableId="687372273">
    <w:abstractNumId w:val="5"/>
  </w:num>
  <w:num w:numId="4" w16cid:durableId="1302420157">
    <w:abstractNumId w:val="4"/>
  </w:num>
  <w:num w:numId="5" w16cid:durableId="1570767125">
    <w:abstractNumId w:val="7"/>
  </w:num>
  <w:num w:numId="6" w16cid:durableId="634530692">
    <w:abstractNumId w:val="3"/>
  </w:num>
  <w:num w:numId="7" w16cid:durableId="1373458007">
    <w:abstractNumId w:val="2"/>
  </w:num>
  <w:num w:numId="8" w16cid:durableId="305479048">
    <w:abstractNumId w:val="1"/>
  </w:num>
  <w:num w:numId="9" w16cid:durableId="1256400493">
    <w:abstractNumId w:val="0"/>
  </w:num>
  <w:num w:numId="10" w16cid:durableId="2106488769">
    <w:abstractNumId w:val="24"/>
  </w:num>
  <w:num w:numId="11" w16cid:durableId="1089354701">
    <w:abstractNumId w:val="20"/>
  </w:num>
  <w:num w:numId="12" w16cid:durableId="1414281483">
    <w:abstractNumId w:val="10"/>
  </w:num>
  <w:num w:numId="13" w16cid:durableId="822703631">
    <w:abstractNumId w:val="21"/>
  </w:num>
  <w:num w:numId="14" w16cid:durableId="337781061">
    <w:abstractNumId w:val="16"/>
  </w:num>
  <w:num w:numId="15" w16cid:durableId="1984237180">
    <w:abstractNumId w:val="18"/>
  </w:num>
  <w:num w:numId="16" w16cid:durableId="992180877">
    <w:abstractNumId w:val="11"/>
  </w:num>
  <w:num w:numId="17" w16cid:durableId="1027104182">
    <w:abstractNumId w:val="12"/>
  </w:num>
  <w:num w:numId="18" w16cid:durableId="1396079086">
    <w:abstractNumId w:val="23"/>
  </w:num>
  <w:num w:numId="19" w16cid:durableId="925647345">
    <w:abstractNumId w:val="15"/>
  </w:num>
  <w:num w:numId="20" w16cid:durableId="491603274">
    <w:abstractNumId w:val="22"/>
  </w:num>
  <w:num w:numId="21" w16cid:durableId="10450455">
    <w:abstractNumId w:val="17"/>
  </w:num>
  <w:num w:numId="22" w16cid:durableId="64032279">
    <w:abstractNumId w:val="19"/>
  </w:num>
  <w:num w:numId="23" w16cid:durableId="1535382615">
    <w:abstractNumId w:val="13"/>
  </w:num>
  <w:num w:numId="24" w16cid:durableId="564534759">
    <w:abstractNumId w:val="9"/>
  </w:num>
  <w:num w:numId="25" w16cid:durableId="118759733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hideSpellingErrors/>
  <w:hideGrammaticalErrors/>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WAFVersion" w:val="5.0"/>
  </w:docVars>
  <w:rsids>
    <w:rsidRoot w:val="00B47730"/>
    <w:rsid w:val="00000EB2"/>
    <w:rsid w:val="00034616"/>
    <w:rsid w:val="0006063C"/>
    <w:rsid w:val="00064518"/>
    <w:rsid w:val="00080F2A"/>
    <w:rsid w:val="000968BD"/>
    <w:rsid w:val="0011179D"/>
    <w:rsid w:val="001265A7"/>
    <w:rsid w:val="0015074B"/>
    <w:rsid w:val="00186B5D"/>
    <w:rsid w:val="001B269D"/>
    <w:rsid w:val="001E12A7"/>
    <w:rsid w:val="00220283"/>
    <w:rsid w:val="002229C0"/>
    <w:rsid w:val="00244885"/>
    <w:rsid w:val="0029639D"/>
    <w:rsid w:val="002C6D1D"/>
    <w:rsid w:val="00326F90"/>
    <w:rsid w:val="0035021A"/>
    <w:rsid w:val="003561F6"/>
    <w:rsid w:val="003A1A0A"/>
    <w:rsid w:val="003E6974"/>
    <w:rsid w:val="00441729"/>
    <w:rsid w:val="00457947"/>
    <w:rsid w:val="0047026A"/>
    <w:rsid w:val="0048525E"/>
    <w:rsid w:val="00503AAF"/>
    <w:rsid w:val="005666E6"/>
    <w:rsid w:val="00586E70"/>
    <w:rsid w:val="005B30B5"/>
    <w:rsid w:val="00620865"/>
    <w:rsid w:val="00635971"/>
    <w:rsid w:val="006A3A28"/>
    <w:rsid w:val="006D1E0D"/>
    <w:rsid w:val="006E1F1E"/>
    <w:rsid w:val="00711596"/>
    <w:rsid w:val="00712824"/>
    <w:rsid w:val="00781C07"/>
    <w:rsid w:val="007A6DE0"/>
    <w:rsid w:val="007C6AB8"/>
    <w:rsid w:val="008227DA"/>
    <w:rsid w:val="008A659C"/>
    <w:rsid w:val="008D1223"/>
    <w:rsid w:val="009D58FE"/>
    <w:rsid w:val="00A86BCB"/>
    <w:rsid w:val="00AA1D8D"/>
    <w:rsid w:val="00AF4AA6"/>
    <w:rsid w:val="00B11C5F"/>
    <w:rsid w:val="00B41382"/>
    <w:rsid w:val="00B47730"/>
    <w:rsid w:val="00BE3DEA"/>
    <w:rsid w:val="00BF217C"/>
    <w:rsid w:val="00C362FB"/>
    <w:rsid w:val="00C55D97"/>
    <w:rsid w:val="00CB0664"/>
    <w:rsid w:val="00D2248A"/>
    <w:rsid w:val="00DC5290"/>
    <w:rsid w:val="00E50A97"/>
    <w:rsid w:val="00E61680"/>
    <w:rsid w:val="00E93A54"/>
    <w:rsid w:val="00EF5288"/>
    <w:rsid w:val="00F21744"/>
    <w:rsid w:val="00F25614"/>
    <w:rsid w:val="00F26501"/>
    <w:rsid w:val="00F65822"/>
    <w:rsid w:val="00FC693F"/>
    <w:rsid w:val="00FC6D88"/>
    <w:rsid w:val="00FE3E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1DB2EF1"/>
  <w14:defaultImageDpi w14:val="300"/>
  <w15:docId w15:val="{0911E50E-90C6-4682-AE9F-3C41078D2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pPr>
      <w:spacing w:after="120" w:line="269" w:lineRule="auto"/>
    </w:pPr>
    <w:rPr>
      <w:rFonts w:ascii="Arial" w:eastAsia="Arial" w:hAnsi="Arial"/>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ind w:left="360"/>
      <w:contextualSpacing/>
    </w:pPr>
  </w:style>
  <w:style w:type="paragraph" w:styleId="ListContinue2">
    <w:name w:val="List Continue 2"/>
    <w:basedOn w:val="Normal"/>
    <w:uiPriority w:val="99"/>
    <w:unhideWhenUsed/>
    <w:rsid w:val="0029639D"/>
    <w:pPr>
      <w:ind w:left="720"/>
      <w:contextualSpacing/>
    </w:pPr>
  </w:style>
  <w:style w:type="paragraph" w:styleId="ListContinue3">
    <w:name w:val="List Continue 3"/>
    <w:basedOn w:val="Normal"/>
    <w:uiPriority w:val="99"/>
    <w:unhideWhenUsed/>
    <w:rsid w:val="0029639D"/>
    <w:pPr>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ReleaseBody">
    <w:name w:val="Release Body"/>
    <w:basedOn w:val="Normal"/>
    <w:pPr>
      <w:jc w:val="both"/>
    </w:pPr>
  </w:style>
  <w:style w:type="paragraph" w:customStyle="1" w:styleId="LeftBody">
    <w:name w:val="Left Body"/>
    <w:basedOn w:val="Normal"/>
  </w:style>
  <w:style w:type="paragraph" w:customStyle="1" w:styleId="SmallBody">
    <w:name w:val="Small Body"/>
    <w:basedOn w:val="Normal"/>
    <w:pPr>
      <w:spacing w:after="40" w:line="264" w:lineRule="auto"/>
    </w:pPr>
    <w:rPr>
      <w:sz w:val="17"/>
    </w:rPr>
  </w:style>
  <w:style w:type="paragraph" w:customStyle="1" w:styleId="SectionHeading">
    <w:name w:val="Section Heading"/>
    <w:basedOn w:val="Normal"/>
    <w:pPr>
      <w:spacing w:before="240" w:after="80"/>
    </w:pPr>
    <w:rPr>
      <w:b/>
      <w:sz w:val="25"/>
    </w:rPr>
  </w:style>
  <w:style w:type="paragraph" w:customStyle="1" w:styleId="QuoteBody">
    <w:name w:val="Quote Body"/>
    <w:basedOn w:val="Normal"/>
    <w:pPr>
      <w:ind w:left="288" w:right="288"/>
    </w:pPr>
    <w:rPr>
      <w:i/>
    </w:rPr>
  </w:style>
  <w:style w:type="paragraph" w:customStyle="1" w:styleId="BulletRelease">
    <w:name w:val="Bullet Release"/>
    <w:basedOn w:val="Normal"/>
    <w:pPr>
      <w:spacing w:after="40"/>
      <w:ind w:left="360" w:hanging="216"/>
    </w:pPr>
  </w:style>
  <w:style w:type="paragraph" w:customStyle="1" w:styleId="p2">
    <w:name w:val="p2"/>
    <w:basedOn w:val="Normal"/>
    <w:rsid w:val="008227D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3">
    <w:name w:val="p3"/>
    <w:basedOn w:val="Normal"/>
    <w:rsid w:val="008227D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1">
    <w:name w:val="p1"/>
    <w:basedOn w:val="Normal"/>
    <w:rsid w:val="008227D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s1">
    <w:name w:val="s1"/>
    <w:basedOn w:val="DefaultParagraphFont"/>
    <w:rsid w:val="008227DA"/>
  </w:style>
  <w:style w:type="character" w:customStyle="1" w:styleId="apple-converted-space">
    <w:name w:val="apple-converted-space"/>
    <w:basedOn w:val="DefaultParagraphFont"/>
    <w:rsid w:val="008227DA"/>
  </w:style>
  <w:style w:type="character" w:customStyle="1" w:styleId="s2">
    <w:name w:val="s2"/>
    <w:basedOn w:val="DefaultParagraphFont"/>
    <w:rsid w:val="008227DA"/>
  </w:style>
  <w:style w:type="character" w:styleId="Hyperlink">
    <w:name w:val="Hyperlink"/>
    <w:basedOn w:val="DefaultParagraphFont"/>
    <w:uiPriority w:val="99"/>
    <w:unhideWhenUsed/>
    <w:rsid w:val="00AF4AA6"/>
    <w:rPr>
      <w:color w:val="0000FF" w:themeColor="hyperlink"/>
      <w:u w:val="single"/>
    </w:rPr>
  </w:style>
  <w:style w:type="character" w:styleId="UnresolvedMention">
    <w:name w:val="Unresolved Mention"/>
    <w:basedOn w:val="DefaultParagraphFont"/>
    <w:uiPriority w:val="99"/>
    <w:semiHidden/>
    <w:unhideWhenUsed/>
    <w:rsid w:val="00AF4A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066342">
      <w:bodyDiv w:val="1"/>
      <w:marLeft w:val="0"/>
      <w:marRight w:val="0"/>
      <w:marTop w:val="0"/>
      <w:marBottom w:val="0"/>
      <w:divBdr>
        <w:top w:val="none" w:sz="0" w:space="0" w:color="auto"/>
        <w:left w:val="none" w:sz="0" w:space="0" w:color="auto"/>
        <w:bottom w:val="none" w:sz="0" w:space="0" w:color="auto"/>
        <w:right w:val="none" w:sz="0" w:space="0" w:color="auto"/>
      </w:divBdr>
    </w:div>
    <w:div w:id="170949375">
      <w:bodyDiv w:val="1"/>
      <w:marLeft w:val="0"/>
      <w:marRight w:val="0"/>
      <w:marTop w:val="0"/>
      <w:marBottom w:val="0"/>
      <w:divBdr>
        <w:top w:val="none" w:sz="0" w:space="0" w:color="auto"/>
        <w:left w:val="none" w:sz="0" w:space="0" w:color="auto"/>
        <w:bottom w:val="none" w:sz="0" w:space="0" w:color="auto"/>
        <w:right w:val="none" w:sz="0" w:space="0" w:color="auto"/>
      </w:divBdr>
    </w:div>
    <w:div w:id="377976202">
      <w:bodyDiv w:val="1"/>
      <w:marLeft w:val="0"/>
      <w:marRight w:val="0"/>
      <w:marTop w:val="0"/>
      <w:marBottom w:val="0"/>
      <w:divBdr>
        <w:top w:val="none" w:sz="0" w:space="0" w:color="auto"/>
        <w:left w:val="none" w:sz="0" w:space="0" w:color="auto"/>
        <w:bottom w:val="none" w:sz="0" w:space="0" w:color="auto"/>
        <w:right w:val="none" w:sz="0" w:space="0" w:color="auto"/>
      </w:divBdr>
    </w:div>
    <w:div w:id="585959473">
      <w:bodyDiv w:val="1"/>
      <w:marLeft w:val="0"/>
      <w:marRight w:val="0"/>
      <w:marTop w:val="0"/>
      <w:marBottom w:val="0"/>
      <w:divBdr>
        <w:top w:val="none" w:sz="0" w:space="0" w:color="auto"/>
        <w:left w:val="none" w:sz="0" w:space="0" w:color="auto"/>
        <w:bottom w:val="none" w:sz="0" w:space="0" w:color="auto"/>
        <w:right w:val="none" w:sz="0" w:space="0" w:color="auto"/>
      </w:divBdr>
    </w:div>
    <w:div w:id="787240094">
      <w:bodyDiv w:val="1"/>
      <w:marLeft w:val="0"/>
      <w:marRight w:val="0"/>
      <w:marTop w:val="0"/>
      <w:marBottom w:val="0"/>
      <w:divBdr>
        <w:top w:val="none" w:sz="0" w:space="0" w:color="auto"/>
        <w:left w:val="none" w:sz="0" w:space="0" w:color="auto"/>
        <w:bottom w:val="none" w:sz="0" w:space="0" w:color="auto"/>
        <w:right w:val="none" w:sz="0" w:space="0" w:color="auto"/>
      </w:divBdr>
    </w:div>
    <w:div w:id="802118103">
      <w:bodyDiv w:val="1"/>
      <w:marLeft w:val="0"/>
      <w:marRight w:val="0"/>
      <w:marTop w:val="0"/>
      <w:marBottom w:val="0"/>
      <w:divBdr>
        <w:top w:val="none" w:sz="0" w:space="0" w:color="auto"/>
        <w:left w:val="none" w:sz="0" w:space="0" w:color="auto"/>
        <w:bottom w:val="none" w:sz="0" w:space="0" w:color="auto"/>
        <w:right w:val="none" w:sz="0" w:space="0" w:color="auto"/>
      </w:divBdr>
    </w:div>
    <w:div w:id="1055737415">
      <w:bodyDiv w:val="1"/>
      <w:marLeft w:val="0"/>
      <w:marRight w:val="0"/>
      <w:marTop w:val="0"/>
      <w:marBottom w:val="0"/>
      <w:divBdr>
        <w:top w:val="none" w:sz="0" w:space="0" w:color="auto"/>
        <w:left w:val="none" w:sz="0" w:space="0" w:color="auto"/>
        <w:bottom w:val="none" w:sz="0" w:space="0" w:color="auto"/>
        <w:right w:val="none" w:sz="0" w:space="0" w:color="auto"/>
      </w:divBdr>
    </w:div>
    <w:div w:id="1148132097">
      <w:bodyDiv w:val="1"/>
      <w:marLeft w:val="0"/>
      <w:marRight w:val="0"/>
      <w:marTop w:val="0"/>
      <w:marBottom w:val="0"/>
      <w:divBdr>
        <w:top w:val="none" w:sz="0" w:space="0" w:color="auto"/>
        <w:left w:val="none" w:sz="0" w:space="0" w:color="auto"/>
        <w:bottom w:val="none" w:sz="0" w:space="0" w:color="auto"/>
        <w:right w:val="none" w:sz="0" w:space="0" w:color="auto"/>
      </w:divBdr>
      <w:divsChild>
        <w:div w:id="492648347">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204446167">
      <w:bodyDiv w:val="1"/>
      <w:marLeft w:val="0"/>
      <w:marRight w:val="0"/>
      <w:marTop w:val="0"/>
      <w:marBottom w:val="0"/>
      <w:divBdr>
        <w:top w:val="none" w:sz="0" w:space="0" w:color="auto"/>
        <w:left w:val="none" w:sz="0" w:space="0" w:color="auto"/>
        <w:bottom w:val="none" w:sz="0" w:space="0" w:color="auto"/>
        <w:right w:val="none" w:sz="0" w:space="0" w:color="auto"/>
      </w:divBdr>
    </w:div>
    <w:div w:id="1460999304">
      <w:bodyDiv w:val="1"/>
      <w:marLeft w:val="0"/>
      <w:marRight w:val="0"/>
      <w:marTop w:val="0"/>
      <w:marBottom w:val="0"/>
      <w:divBdr>
        <w:top w:val="none" w:sz="0" w:space="0" w:color="auto"/>
        <w:left w:val="none" w:sz="0" w:space="0" w:color="auto"/>
        <w:bottom w:val="none" w:sz="0" w:space="0" w:color="auto"/>
        <w:right w:val="none" w:sz="0" w:space="0" w:color="auto"/>
      </w:divBdr>
    </w:div>
    <w:div w:id="1489132966">
      <w:bodyDiv w:val="1"/>
      <w:marLeft w:val="0"/>
      <w:marRight w:val="0"/>
      <w:marTop w:val="0"/>
      <w:marBottom w:val="0"/>
      <w:divBdr>
        <w:top w:val="none" w:sz="0" w:space="0" w:color="auto"/>
        <w:left w:val="none" w:sz="0" w:space="0" w:color="auto"/>
        <w:bottom w:val="none" w:sz="0" w:space="0" w:color="auto"/>
        <w:right w:val="none" w:sz="0" w:space="0" w:color="auto"/>
      </w:divBdr>
    </w:div>
    <w:div w:id="1495295289">
      <w:bodyDiv w:val="1"/>
      <w:marLeft w:val="0"/>
      <w:marRight w:val="0"/>
      <w:marTop w:val="0"/>
      <w:marBottom w:val="0"/>
      <w:divBdr>
        <w:top w:val="none" w:sz="0" w:space="0" w:color="auto"/>
        <w:left w:val="none" w:sz="0" w:space="0" w:color="auto"/>
        <w:bottom w:val="none" w:sz="0" w:space="0" w:color="auto"/>
        <w:right w:val="none" w:sz="0" w:space="0" w:color="auto"/>
      </w:divBdr>
    </w:div>
    <w:div w:id="1519854090">
      <w:bodyDiv w:val="1"/>
      <w:marLeft w:val="0"/>
      <w:marRight w:val="0"/>
      <w:marTop w:val="0"/>
      <w:marBottom w:val="0"/>
      <w:divBdr>
        <w:top w:val="none" w:sz="0" w:space="0" w:color="auto"/>
        <w:left w:val="none" w:sz="0" w:space="0" w:color="auto"/>
        <w:bottom w:val="none" w:sz="0" w:space="0" w:color="auto"/>
        <w:right w:val="none" w:sz="0" w:space="0" w:color="auto"/>
      </w:divBdr>
    </w:div>
    <w:div w:id="1626694519">
      <w:bodyDiv w:val="1"/>
      <w:marLeft w:val="0"/>
      <w:marRight w:val="0"/>
      <w:marTop w:val="0"/>
      <w:marBottom w:val="0"/>
      <w:divBdr>
        <w:top w:val="none" w:sz="0" w:space="0" w:color="auto"/>
        <w:left w:val="none" w:sz="0" w:space="0" w:color="auto"/>
        <w:bottom w:val="none" w:sz="0" w:space="0" w:color="auto"/>
        <w:right w:val="none" w:sz="0" w:space="0" w:color="auto"/>
      </w:divBdr>
    </w:div>
    <w:div w:id="1676568313">
      <w:bodyDiv w:val="1"/>
      <w:marLeft w:val="0"/>
      <w:marRight w:val="0"/>
      <w:marTop w:val="0"/>
      <w:marBottom w:val="0"/>
      <w:divBdr>
        <w:top w:val="none" w:sz="0" w:space="0" w:color="auto"/>
        <w:left w:val="none" w:sz="0" w:space="0" w:color="auto"/>
        <w:bottom w:val="none" w:sz="0" w:space="0" w:color="auto"/>
        <w:right w:val="none" w:sz="0" w:space="0" w:color="auto"/>
      </w:divBdr>
    </w:div>
    <w:div w:id="1728410390">
      <w:bodyDiv w:val="1"/>
      <w:marLeft w:val="0"/>
      <w:marRight w:val="0"/>
      <w:marTop w:val="0"/>
      <w:marBottom w:val="0"/>
      <w:divBdr>
        <w:top w:val="none" w:sz="0" w:space="0" w:color="auto"/>
        <w:left w:val="none" w:sz="0" w:space="0" w:color="auto"/>
        <w:bottom w:val="none" w:sz="0" w:space="0" w:color="auto"/>
        <w:right w:val="none" w:sz="0" w:space="0" w:color="auto"/>
      </w:divBdr>
    </w:div>
    <w:div w:id="1791823115">
      <w:bodyDiv w:val="1"/>
      <w:marLeft w:val="0"/>
      <w:marRight w:val="0"/>
      <w:marTop w:val="0"/>
      <w:marBottom w:val="0"/>
      <w:divBdr>
        <w:top w:val="none" w:sz="0" w:space="0" w:color="auto"/>
        <w:left w:val="none" w:sz="0" w:space="0" w:color="auto"/>
        <w:bottom w:val="none" w:sz="0" w:space="0" w:color="auto"/>
        <w:right w:val="none" w:sz="0" w:space="0" w:color="auto"/>
      </w:divBdr>
    </w:div>
    <w:div w:id="1838492276">
      <w:bodyDiv w:val="1"/>
      <w:marLeft w:val="0"/>
      <w:marRight w:val="0"/>
      <w:marTop w:val="0"/>
      <w:marBottom w:val="0"/>
      <w:divBdr>
        <w:top w:val="none" w:sz="0" w:space="0" w:color="auto"/>
        <w:left w:val="none" w:sz="0" w:space="0" w:color="auto"/>
        <w:bottom w:val="none" w:sz="0" w:space="0" w:color="auto"/>
        <w:right w:val="none" w:sz="0" w:space="0" w:color="auto"/>
      </w:divBdr>
    </w:div>
    <w:div w:id="1887984355">
      <w:bodyDiv w:val="1"/>
      <w:marLeft w:val="0"/>
      <w:marRight w:val="0"/>
      <w:marTop w:val="0"/>
      <w:marBottom w:val="0"/>
      <w:divBdr>
        <w:top w:val="none" w:sz="0" w:space="0" w:color="auto"/>
        <w:left w:val="none" w:sz="0" w:space="0" w:color="auto"/>
        <w:bottom w:val="none" w:sz="0" w:space="0" w:color="auto"/>
        <w:right w:val="none" w:sz="0" w:space="0" w:color="auto"/>
      </w:divBdr>
    </w:div>
    <w:div w:id="1977369476">
      <w:bodyDiv w:val="1"/>
      <w:marLeft w:val="0"/>
      <w:marRight w:val="0"/>
      <w:marTop w:val="0"/>
      <w:marBottom w:val="0"/>
      <w:divBdr>
        <w:top w:val="none" w:sz="0" w:space="0" w:color="auto"/>
        <w:left w:val="none" w:sz="0" w:space="0" w:color="auto"/>
        <w:bottom w:val="none" w:sz="0" w:space="0" w:color="auto"/>
        <w:right w:val="none" w:sz="0" w:space="0" w:color="auto"/>
      </w:divBdr>
    </w:div>
    <w:div w:id="212830855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seda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1077</Words>
  <Characters>6345</Characters>
  <Application>Microsoft Office Word</Application>
  <DocSecurity>0</DocSecurity>
  <Lines>99</Lines>
  <Paragraphs>24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7419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Matt Coltura</cp:lastModifiedBy>
  <cp:revision>4</cp:revision>
  <dcterms:created xsi:type="dcterms:W3CDTF">2026-04-16T17:41:00Z</dcterms:created>
  <dcterms:modified xsi:type="dcterms:W3CDTF">2026-04-16T18:51:00Z</dcterms:modified>
  <cp:category/>
</cp:coreProperties>
</file>